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F0FC2" w14:textId="74B889C9" w:rsidR="00F76471" w:rsidRDefault="00F76471" w:rsidP="00F76471">
      <w:pPr>
        <w:pStyle w:val="Heading1"/>
      </w:pPr>
      <w:r>
        <w:t>Guidance Note 2 – Direct worker registration process</w:t>
      </w:r>
    </w:p>
    <w:p w14:paraId="42A2E6A6" w14:textId="14CBA7EB" w:rsidR="00F76471" w:rsidRDefault="00742311">
      <w:r w:rsidRPr="004F647D">
        <w:rPr>
          <w:b/>
          <w:bCs/>
        </w:rPr>
        <w:t>Date of publication:</w:t>
      </w:r>
      <w:r>
        <w:t xml:space="preserve"> 16 December 2024</w:t>
      </w:r>
    </w:p>
    <w:p w14:paraId="5ED8DF22" w14:textId="77777777" w:rsidR="00742311" w:rsidRDefault="00742311"/>
    <w:p w14:paraId="4028EFD9" w14:textId="7219F304" w:rsidR="00F76471" w:rsidRDefault="00F76471" w:rsidP="008E634A">
      <w:pPr>
        <w:pStyle w:val="Heading1"/>
      </w:pPr>
      <w:r>
        <w:t>About this guidance note</w:t>
      </w:r>
    </w:p>
    <w:p w14:paraId="7EECA647" w14:textId="55183299" w:rsidR="00F76471" w:rsidRPr="008E634A" w:rsidRDefault="00F76471" w:rsidP="005A3182">
      <w:pPr>
        <w:pStyle w:val="Heading3"/>
        <w:rPr>
          <w:sz w:val="24"/>
        </w:rPr>
      </w:pPr>
      <w:r w:rsidRPr="008E634A">
        <w:rPr>
          <w:sz w:val="24"/>
        </w:rPr>
        <w:t>Background</w:t>
      </w:r>
    </w:p>
    <w:p w14:paraId="657C1F55" w14:textId="1FFE6495" w:rsidR="00F76471" w:rsidRPr="008E634A" w:rsidRDefault="00F76471" w:rsidP="00F76471">
      <w:pPr>
        <w:rPr>
          <w:sz w:val="22"/>
        </w:rPr>
      </w:pPr>
      <w:r w:rsidRPr="008E634A">
        <w:rPr>
          <w:sz w:val="22"/>
        </w:rPr>
        <w:t>This Guidance Note 2 provides information on the Portable Long Service Authority’s (the Authority) process for handling direct worker registrations made to the Authority under the Long Service Benefits Portability Act 2018 (Vic) (the Act).</w:t>
      </w:r>
    </w:p>
    <w:p w14:paraId="64CF150F" w14:textId="79DC3201" w:rsidR="00A91413" w:rsidRPr="008E634A" w:rsidRDefault="00A91413" w:rsidP="00A91413">
      <w:pPr>
        <w:rPr>
          <w:sz w:val="22"/>
        </w:rPr>
      </w:pPr>
      <w:r w:rsidRPr="008E634A">
        <w:rPr>
          <w:sz w:val="22"/>
        </w:rPr>
        <w:t>The Portable Long Service Benefits Scheme (the Scheme) establishes that eligible employers are required to include in the register each of the employer’s eligible workers who performed work for the employer during a preceding quarter and include details of their hours of service. Failure to do so is an offence under the Act and punishable by a fine of up to 24 penalty units in the case of an individual employer (and 120 penalty units in the case of a body corporate employer) for each day during which the offence continues. As a result, all eligible workers of the Scheme receive coverage through registration by their employer.</w:t>
      </w:r>
    </w:p>
    <w:p w14:paraId="643BF0FC" w14:textId="682D8AE7" w:rsidR="00A91413" w:rsidRPr="008E634A" w:rsidRDefault="00A91413" w:rsidP="00A91413">
      <w:pPr>
        <w:rPr>
          <w:sz w:val="22"/>
        </w:rPr>
      </w:pPr>
      <w:r w:rsidRPr="008E634A">
        <w:rPr>
          <w:sz w:val="22"/>
        </w:rPr>
        <w:t xml:space="preserve">The Authority will continue to work collaboratively with employers to educate them about their obligations under the Scheme. Now that the Scheme has been established for five years the Authority has adopted a structured approach to compliance and enforcement as per its published </w:t>
      </w:r>
      <w:hyperlink r:id="rId12" w:history="1">
        <w:r w:rsidRPr="00B34631">
          <w:rPr>
            <w:rStyle w:val="Hyperlink"/>
            <w:rFonts w:asciiTheme="minorHAnsi" w:hAnsiTheme="minorHAnsi"/>
            <w:sz w:val="22"/>
          </w:rPr>
          <w:t>Regulatory Strategy</w:t>
        </w:r>
      </w:hyperlink>
      <w:r w:rsidRPr="008E634A">
        <w:rPr>
          <w:sz w:val="22"/>
        </w:rPr>
        <w:t>.</w:t>
      </w:r>
    </w:p>
    <w:p w14:paraId="0B865FF1" w14:textId="2747038E" w:rsidR="00A91413" w:rsidRPr="008E634A" w:rsidRDefault="00A91413" w:rsidP="00A91413">
      <w:pPr>
        <w:rPr>
          <w:sz w:val="22"/>
        </w:rPr>
      </w:pPr>
      <w:r w:rsidRPr="008E634A">
        <w:rPr>
          <w:sz w:val="22"/>
        </w:rPr>
        <w:t>The Authority values information from workers and employers that will assist it in meeting the objective of equitable administration of the Scheme. Equitable administration includes ensuring that all eligible workers are included in the Scheme. The Authority therefore welcomes information about employers who should be registered (as well as workers who should be registered) and instances of missing hours or entitlements. The Authority will endeavour to respond to information provided and applications made in a timely manner.</w:t>
      </w:r>
    </w:p>
    <w:p w14:paraId="17C78ADB" w14:textId="19B2A17E" w:rsidR="00F76471" w:rsidRPr="008E634A" w:rsidRDefault="00F76471" w:rsidP="00F76471">
      <w:pPr>
        <w:rPr>
          <w:sz w:val="22"/>
        </w:rPr>
      </w:pPr>
      <w:r w:rsidRPr="008E634A">
        <w:rPr>
          <w:sz w:val="22"/>
        </w:rPr>
        <w:t>Where a worker is of the view that they should be registered with the Scheme,</w:t>
      </w:r>
      <w:r w:rsidR="00742311" w:rsidRPr="008E634A">
        <w:rPr>
          <w:sz w:val="22"/>
        </w:rPr>
        <w:t xml:space="preserve"> </w:t>
      </w:r>
      <w:r w:rsidRPr="008E634A">
        <w:rPr>
          <w:sz w:val="22"/>
        </w:rPr>
        <w:t>the most common starting point will be to make the relevant inquiries with</w:t>
      </w:r>
      <w:r w:rsidR="00742311" w:rsidRPr="008E634A">
        <w:rPr>
          <w:sz w:val="22"/>
        </w:rPr>
        <w:t xml:space="preserve"> </w:t>
      </w:r>
      <w:r w:rsidRPr="008E634A">
        <w:rPr>
          <w:sz w:val="22"/>
        </w:rPr>
        <w:t>the employer. A worker may also approach the Authority directly, including in</w:t>
      </w:r>
      <w:r w:rsidR="00742311" w:rsidRPr="008E634A">
        <w:rPr>
          <w:sz w:val="22"/>
        </w:rPr>
        <w:t xml:space="preserve"> </w:t>
      </w:r>
      <w:r w:rsidRPr="008E634A">
        <w:rPr>
          <w:sz w:val="22"/>
        </w:rPr>
        <w:t>cases where an employer inquiry does not produce a satisfactory result.</w:t>
      </w:r>
      <w:r w:rsidR="00742311" w:rsidRPr="008E634A">
        <w:rPr>
          <w:sz w:val="22"/>
        </w:rPr>
        <w:t xml:space="preserve"> </w:t>
      </w:r>
      <w:r w:rsidRPr="008E634A">
        <w:rPr>
          <w:sz w:val="22"/>
        </w:rPr>
        <w:t xml:space="preserve">A worker can apply for registration using the </w:t>
      </w:r>
      <w:r w:rsidR="00742311" w:rsidRPr="008E634A">
        <w:rPr>
          <w:sz w:val="22"/>
        </w:rPr>
        <w:t>‘</w:t>
      </w:r>
      <w:r w:rsidRPr="008E634A">
        <w:rPr>
          <w:sz w:val="22"/>
        </w:rPr>
        <w:t>Direct worker registration</w:t>
      </w:r>
      <w:r w:rsidR="00742311" w:rsidRPr="008E634A">
        <w:rPr>
          <w:sz w:val="22"/>
        </w:rPr>
        <w:t xml:space="preserve"> </w:t>
      </w:r>
      <w:r w:rsidRPr="008E634A">
        <w:rPr>
          <w:sz w:val="22"/>
        </w:rPr>
        <w:t>process form</w:t>
      </w:r>
      <w:r w:rsidR="00742311" w:rsidRPr="008E634A">
        <w:rPr>
          <w:sz w:val="22"/>
        </w:rPr>
        <w:t>’</w:t>
      </w:r>
      <w:r w:rsidRPr="008E634A">
        <w:rPr>
          <w:sz w:val="22"/>
        </w:rPr>
        <w:t xml:space="preserve"> at any time. However, we encourage workers to work through</w:t>
      </w:r>
      <w:r w:rsidR="00742311" w:rsidRPr="008E634A">
        <w:rPr>
          <w:sz w:val="22"/>
        </w:rPr>
        <w:t xml:space="preserve"> </w:t>
      </w:r>
      <w:r w:rsidRPr="008E634A">
        <w:rPr>
          <w:sz w:val="22"/>
        </w:rPr>
        <w:t>the following steps in the first instance:</w:t>
      </w:r>
    </w:p>
    <w:p w14:paraId="5D26BB90" w14:textId="77777777" w:rsidR="00F76471" w:rsidRPr="008E634A" w:rsidRDefault="00F76471" w:rsidP="00742311">
      <w:pPr>
        <w:pStyle w:val="Heading3"/>
        <w:rPr>
          <w:sz w:val="24"/>
        </w:rPr>
      </w:pPr>
      <w:r w:rsidRPr="008E634A">
        <w:rPr>
          <w:sz w:val="24"/>
        </w:rPr>
        <w:t>Step 1</w:t>
      </w:r>
    </w:p>
    <w:p w14:paraId="31F67282" w14:textId="77777777" w:rsidR="00F76471" w:rsidRPr="008E634A" w:rsidRDefault="00F76471" w:rsidP="00F76471">
      <w:pPr>
        <w:rPr>
          <w:sz w:val="22"/>
        </w:rPr>
      </w:pPr>
      <w:r w:rsidRPr="008E634A">
        <w:rPr>
          <w:sz w:val="22"/>
        </w:rPr>
        <w:t>Check if your employer is registered with the Scheme.</w:t>
      </w:r>
    </w:p>
    <w:p w14:paraId="5693ADFB" w14:textId="77777777" w:rsidR="00F76471" w:rsidRPr="008E634A" w:rsidRDefault="00F76471" w:rsidP="00742311">
      <w:pPr>
        <w:pStyle w:val="Heading3"/>
        <w:rPr>
          <w:sz w:val="24"/>
        </w:rPr>
      </w:pPr>
      <w:r w:rsidRPr="008E634A">
        <w:rPr>
          <w:sz w:val="24"/>
        </w:rPr>
        <w:t>Step 2a</w:t>
      </w:r>
    </w:p>
    <w:p w14:paraId="5C363251" w14:textId="6F71B7DF" w:rsidR="00F76471" w:rsidRDefault="00F76471" w:rsidP="00F76471">
      <w:pPr>
        <w:rPr>
          <w:sz w:val="22"/>
        </w:rPr>
      </w:pPr>
      <w:r w:rsidRPr="008E634A">
        <w:rPr>
          <w:sz w:val="22"/>
        </w:rPr>
        <w:t>If your employer is not registered with the Scheme and you suspect that the</w:t>
      </w:r>
      <w:r w:rsidR="00742311" w:rsidRPr="008E634A">
        <w:rPr>
          <w:sz w:val="22"/>
        </w:rPr>
        <w:t xml:space="preserve"> </w:t>
      </w:r>
      <w:r w:rsidRPr="008E634A">
        <w:rPr>
          <w:sz w:val="22"/>
        </w:rPr>
        <w:t>employer is intentionally or</w:t>
      </w:r>
      <w:r w:rsidR="00742311" w:rsidRPr="008E634A">
        <w:rPr>
          <w:sz w:val="22"/>
        </w:rPr>
        <w:t xml:space="preserve"> i</w:t>
      </w:r>
      <w:r w:rsidRPr="008E634A">
        <w:rPr>
          <w:sz w:val="22"/>
        </w:rPr>
        <w:t>nadvertently breaking the law by not registering</w:t>
      </w:r>
      <w:r w:rsidR="00742311" w:rsidRPr="008E634A">
        <w:rPr>
          <w:sz w:val="22"/>
        </w:rPr>
        <w:t xml:space="preserve"> </w:t>
      </w:r>
      <w:r w:rsidRPr="008E634A">
        <w:rPr>
          <w:sz w:val="22"/>
        </w:rPr>
        <w:t>a worker’s portable long service leave entitlements, then you should complete</w:t>
      </w:r>
      <w:r w:rsidR="00742311" w:rsidRPr="008E634A">
        <w:rPr>
          <w:sz w:val="22"/>
        </w:rPr>
        <w:t xml:space="preserve"> </w:t>
      </w:r>
      <w:r w:rsidRPr="008E634A">
        <w:rPr>
          <w:sz w:val="22"/>
        </w:rPr>
        <w:t xml:space="preserve">the </w:t>
      </w:r>
      <w:r w:rsidR="00A91413" w:rsidRPr="008E634A">
        <w:rPr>
          <w:sz w:val="22"/>
        </w:rPr>
        <w:t>‘</w:t>
      </w:r>
      <w:r w:rsidRPr="008E634A">
        <w:rPr>
          <w:sz w:val="22"/>
        </w:rPr>
        <w:t>Report an employer form</w:t>
      </w:r>
      <w:r w:rsidR="00A91413" w:rsidRPr="008E634A">
        <w:rPr>
          <w:sz w:val="22"/>
        </w:rPr>
        <w:t>’</w:t>
      </w:r>
      <w:r w:rsidRPr="008E634A">
        <w:rPr>
          <w:sz w:val="22"/>
        </w:rPr>
        <w:t xml:space="preserve"> and submit to the Authority.</w:t>
      </w:r>
    </w:p>
    <w:p w14:paraId="388C1596" w14:textId="77777777" w:rsidR="004F647D" w:rsidRPr="004F647D" w:rsidRDefault="004F647D" w:rsidP="004F647D">
      <w:pPr>
        <w:rPr>
          <w:sz w:val="22"/>
        </w:rPr>
      </w:pPr>
    </w:p>
    <w:p w14:paraId="30048526" w14:textId="3874D9F2" w:rsidR="004F647D" w:rsidRPr="004F647D" w:rsidRDefault="004F647D" w:rsidP="004F647D">
      <w:pPr>
        <w:tabs>
          <w:tab w:val="left" w:pos="2415"/>
        </w:tabs>
        <w:rPr>
          <w:sz w:val="22"/>
        </w:rPr>
      </w:pPr>
      <w:r>
        <w:rPr>
          <w:sz w:val="22"/>
        </w:rPr>
        <w:lastRenderedPageBreak/>
        <w:tab/>
      </w:r>
    </w:p>
    <w:p w14:paraId="263526F8" w14:textId="77777777" w:rsidR="00F76471" w:rsidRPr="008E634A" w:rsidRDefault="00F76471" w:rsidP="00742311">
      <w:pPr>
        <w:pStyle w:val="Heading3"/>
        <w:rPr>
          <w:sz w:val="24"/>
        </w:rPr>
      </w:pPr>
      <w:r w:rsidRPr="008E634A">
        <w:rPr>
          <w:sz w:val="24"/>
        </w:rPr>
        <w:t>Step 2b</w:t>
      </w:r>
    </w:p>
    <w:p w14:paraId="1BBEDF1F" w14:textId="41CED4CA" w:rsidR="00F76471" w:rsidRPr="008E634A" w:rsidRDefault="00F76471" w:rsidP="00F76471">
      <w:pPr>
        <w:rPr>
          <w:sz w:val="22"/>
        </w:rPr>
      </w:pPr>
      <w:r w:rsidRPr="008E634A">
        <w:rPr>
          <w:sz w:val="22"/>
        </w:rPr>
        <w:t xml:space="preserve">If your employer is registered with the Scheme, check </w:t>
      </w:r>
      <w:proofErr w:type="gramStart"/>
      <w:r w:rsidRPr="008E634A">
        <w:rPr>
          <w:sz w:val="22"/>
        </w:rPr>
        <w:t>whether or not</w:t>
      </w:r>
      <w:proofErr w:type="gramEnd"/>
      <w:r w:rsidRPr="008E634A">
        <w:rPr>
          <w:sz w:val="22"/>
        </w:rPr>
        <w:t xml:space="preserve"> you have</w:t>
      </w:r>
      <w:r w:rsidR="00742311" w:rsidRPr="008E634A">
        <w:rPr>
          <w:sz w:val="22"/>
        </w:rPr>
        <w:t xml:space="preserve"> </w:t>
      </w:r>
      <w:r w:rsidRPr="008E634A">
        <w:rPr>
          <w:sz w:val="22"/>
        </w:rPr>
        <w:t>been included as a registered</w:t>
      </w:r>
      <w:r w:rsidR="00742311" w:rsidRPr="008E634A">
        <w:rPr>
          <w:sz w:val="22"/>
        </w:rPr>
        <w:t xml:space="preserve"> </w:t>
      </w:r>
      <w:r w:rsidRPr="008E634A">
        <w:rPr>
          <w:sz w:val="22"/>
        </w:rPr>
        <w:t>worker. You can either contact your employer or</w:t>
      </w:r>
      <w:r w:rsidR="00742311" w:rsidRPr="008E634A">
        <w:rPr>
          <w:sz w:val="22"/>
        </w:rPr>
        <w:t xml:space="preserve"> </w:t>
      </w:r>
      <w:r w:rsidRPr="008E634A">
        <w:rPr>
          <w:sz w:val="22"/>
        </w:rPr>
        <w:t>reach out directly to the Authority.</w:t>
      </w:r>
    </w:p>
    <w:p w14:paraId="04825BBE" w14:textId="77777777" w:rsidR="00F76471" w:rsidRPr="008E634A" w:rsidRDefault="00F76471" w:rsidP="00742311">
      <w:pPr>
        <w:pStyle w:val="Heading3"/>
        <w:rPr>
          <w:sz w:val="24"/>
        </w:rPr>
      </w:pPr>
      <w:r w:rsidRPr="008E634A">
        <w:rPr>
          <w:sz w:val="24"/>
        </w:rPr>
        <w:t>Step 3a</w:t>
      </w:r>
    </w:p>
    <w:p w14:paraId="3D2BAE4B" w14:textId="7AB51D05" w:rsidR="00F76471" w:rsidRPr="008E634A" w:rsidRDefault="00F76471" w:rsidP="00F76471">
      <w:pPr>
        <w:rPr>
          <w:sz w:val="22"/>
        </w:rPr>
      </w:pPr>
      <w:r w:rsidRPr="008E634A">
        <w:rPr>
          <w:sz w:val="22"/>
        </w:rPr>
        <w:t>If you are included as a registered worker but believe that the employer has</w:t>
      </w:r>
      <w:r w:rsidR="00742311" w:rsidRPr="008E634A">
        <w:rPr>
          <w:sz w:val="22"/>
        </w:rPr>
        <w:t xml:space="preserve"> </w:t>
      </w:r>
      <w:r w:rsidRPr="008E634A">
        <w:rPr>
          <w:sz w:val="22"/>
        </w:rPr>
        <w:t>not included all your work hours, then you should complete the “Missing</w:t>
      </w:r>
      <w:r w:rsidR="00742311" w:rsidRPr="008E634A">
        <w:rPr>
          <w:sz w:val="22"/>
        </w:rPr>
        <w:t xml:space="preserve"> </w:t>
      </w:r>
      <w:r w:rsidRPr="008E634A">
        <w:rPr>
          <w:sz w:val="22"/>
        </w:rPr>
        <w:t>Service Claim form” and submit to the Authority.</w:t>
      </w:r>
    </w:p>
    <w:p w14:paraId="4FCA3EFF" w14:textId="77777777" w:rsidR="00F76471" w:rsidRPr="008E634A" w:rsidRDefault="00F76471" w:rsidP="00742311">
      <w:pPr>
        <w:pStyle w:val="Heading3"/>
        <w:rPr>
          <w:sz w:val="24"/>
        </w:rPr>
      </w:pPr>
      <w:r w:rsidRPr="008E634A">
        <w:rPr>
          <w:sz w:val="24"/>
        </w:rPr>
        <w:t>Step 3b</w:t>
      </w:r>
    </w:p>
    <w:p w14:paraId="167106EA" w14:textId="07F1CE94" w:rsidR="00F76471" w:rsidRPr="008E634A" w:rsidRDefault="00F76471" w:rsidP="00F76471">
      <w:pPr>
        <w:rPr>
          <w:sz w:val="22"/>
        </w:rPr>
      </w:pPr>
      <w:r w:rsidRPr="008E634A">
        <w:rPr>
          <w:sz w:val="22"/>
        </w:rPr>
        <w:t>If you have not been included as a registered worker but believe that you</w:t>
      </w:r>
      <w:r w:rsidR="00742311" w:rsidRPr="008E634A">
        <w:rPr>
          <w:sz w:val="22"/>
        </w:rPr>
        <w:t xml:space="preserve"> </w:t>
      </w:r>
      <w:r w:rsidRPr="008E634A">
        <w:rPr>
          <w:sz w:val="22"/>
        </w:rPr>
        <w:t>are an eligible worker, then you can raise this matter with your employer or</w:t>
      </w:r>
      <w:r w:rsidR="00742311" w:rsidRPr="008E634A">
        <w:rPr>
          <w:sz w:val="22"/>
        </w:rPr>
        <w:t xml:space="preserve"> </w:t>
      </w:r>
      <w:r w:rsidRPr="008E634A">
        <w:rPr>
          <w:sz w:val="22"/>
        </w:rPr>
        <w:t>directly with the Authority.</w:t>
      </w:r>
    </w:p>
    <w:p w14:paraId="0922EE4B" w14:textId="77777777" w:rsidR="00F76471" w:rsidRPr="008E634A" w:rsidRDefault="00F76471" w:rsidP="00742311">
      <w:pPr>
        <w:pStyle w:val="Heading3"/>
        <w:rPr>
          <w:sz w:val="24"/>
        </w:rPr>
      </w:pPr>
      <w:r w:rsidRPr="008E634A">
        <w:rPr>
          <w:sz w:val="24"/>
        </w:rPr>
        <w:t>Step 4</w:t>
      </w:r>
    </w:p>
    <w:p w14:paraId="72B2DF0A" w14:textId="44A8821D" w:rsidR="00F76471" w:rsidRPr="008E634A" w:rsidRDefault="00F76471" w:rsidP="00F76471">
      <w:pPr>
        <w:rPr>
          <w:sz w:val="22"/>
        </w:rPr>
      </w:pPr>
      <w:r w:rsidRPr="008E634A">
        <w:rPr>
          <w:sz w:val="22"/>
        </w:rPr>
        <w:t>If you have raised the matter with your employer or the Authority in the</w:t>
      </w:r>
      <w:r w:rsidR="00742311" w:rsidRPr="008E634A">
        <w:rPr>
          <w:sz w:val="22"/>
        </w:rPr>
        <w:t xml:space="preserve"> </w:t>
      </w:r>
      <w:r w:rsidRPr="008E634A">
        <w:rPr>
          <w:sz w:val="22"/>
        </w:rPr>
        <w:t>first instance and this has failed to produce a satisfactory outcome within a</w:t>
      </w:r>
      <w:r w:rsidR="00742311" w:rsidRPr="008E634A">
        <w:rPr>
          <w:sz w:val="22"/>
        </w:rPr>
        <w:t xml:space="preserve"> </w:t>
      </w:r>
      <w:r w:rsidRPr="008E634A">
        <w:rPr>
          <w:sz w:val="22"/>
        </w:rPr>
        <w:t>reasonable time period, or if your employer is in or</w:t>
      </w:r>
      <w:r w:rsidR="00A91413" w:rsidRPr="008E634A">
        <w:rPr>
          <w:sz w:val="22"/>
        </w:rPr>
        <w:t xml:space="preserve"> if your employer is in</w:t>
      </w:r>
      <w:r w:rsidRPr="008E634A">
        <w:rPr>
          <w:sz w:val="22"/>
        </w:rPr>
        <w:t xml:space="preserve"> liquidation,</w:t>
      </w:r>
      <w:r w:rsidR="00742311" w:rsidRPr="008E634A">
        <w:rPr>
          <w:sz w:val="22"/>
        </w:rPr>
        <w:t xml:space="preserve"> </w:t>
      </w:r>
      <w:r w:rsidRPr="008E634A">
        <w:rPr>
          <w:sz w:val="22"/>
        </w:rPr>
        <w:t>then you can apply directly as a worker with the Authority using the “Direct</w:t>
      </w:r>
      <w:r w:rsidR="00742311" w:rsidRPr="008E634A">
        <w:rPr>
          <w:sz w:val="22"/>
        </w:rPr>
        <w:t xml:space="preserve"> </w:t>
      </w:r>
      <w:r w:rsidRPr="008E634A">
        <w:rPr>
          <w:sz w:val="22"/>
        </w:rPr>
        <w:t>Worker Registration Process form” and</w:t>
      </w:r>
      <w:r w:rsidR="00742311" w:rsidRPr="008E634A">
        <w:rPr>
          <w:sz w:val="22"/>
        </w:rPr>
        <w:t xml:space="preserve"> </w:t>
      </w:r>
      <w:r w:rsidRPr="008E634A">
        <w:rPr>
          <w:sz w:val="22"/>
        </w:rPr>
        <w:t>submit to the Authority.</w:t>
      </w:r>
    </w:p>
    <w:p w14:paraId="5EAE0A7D" w14:textId="51973B7C" w:rsidR="00F76471" w:rsidRPr="008E634A" w:rsidRDefault="00F76471" w:rsidP="00F76471">
      <w:pPr>
        <w:rPr>
          <w:sz w:val="22"/>
        </w:rPr>
      </w:pPr>
      <w:r w:rsidRPr="008E634A">
        <w:rPr>
          <w:sz w:val="22"/>
        </w:rPr>
        <w:t>Note: If a worker applies directly as a worker using the “Direct Worker</w:t>
      </w:r>
      <w:r w:rsidR="00742311" w:rsidRPr="008E634A">
        <w:rPr>
          <w:sz w:val="22"/>
        </w:rPr>
        <w:t xml:space="preserve"> </w:t>
      </w:r>
      <w:r w:rsidRPr="008E634A">
        <w:rPr>
          <w:sz w:val="22"/>
        </w:rPr>
        <w:t>Registration Process form” under Step 4 but has not completed the steps,</w:t>
      </w:r>
      <w:r w:rsidR="00742311" w:rsidRPr="008E634A">
        <w:rPr>
          <w:sz w:val="22"/>
        </w:rPr>
        <w:t xml:space="preserve"> </w:t>
      </w:r>
      <w:r w:rsidRPr="008E634A">
        <w:rPr>
          <w:sz w:val="22"/>
        </w:rPr>
        <w:t>then the Authority will normally need to complete the above steps before</w:t>
      </w:r>
      <w:r w:rsidR="00742311" w:rsidRPr="008E634A">
        <w:rPr>
          <w:sz w:val="22"/>
        </w:rPr>
        <w:t xml:space="preserve"> </w:t>
      </w:r>
      <w:r w:rsidRPr="008E634A">
        <w:rPr>
          <w:sz w:val="22"/>
        </w:rPr>
        <w:t>progressing further with an application for direct worker registration.</w:t>
      </w:r>
    </w:p>
    <w:p w14:paraId="72C060DF" w14:textId="2B2411FC" w:rsidR="00F76471" w:rsidRPr="008D594F" w:rsidRDefault="00F76471" w:rsidP="008D594F">
      <w:pPr>
        <w:spacing w:before="0" w:after="160" w:line="259" w:lineRule="auto"/>
        <w:rPr>
          <w:rStyle w:val="Bold"/>
          <w:rFonts w:ascii="Arial Rounded MT Bold" w:eastAsiaTheme="majorEastAsia" w:hAnsi="Arial Rounded MT Bold" w:cstheme="majorBidi"/>
          <w:color w:val="000000" w:themeColor="text1"/>
          <w:sz w:val="24"/>
          <w:szCs w:val="24"/>
        </w:rPr>
      </w:pPr>
      <w:r w:rsidRPr="008E634A">
        <w:rPr>
          <w:rStyle w:val="Bold"/>
          <w:rFonts w:ascii="Arial Rounded MT Bold" w:hAnsi="Arial Rounded MT Bold"/>
          <w:sz w:val="24"/>
        </w:rPr>
        <w:t>Contents of this Guidance Note</w:t>
      </w:r>
    </w:p>
    <w:p w14:paraId="449D6ABB" w14:textId="5D004AB4" w:rsidR="00F76471" w:rsidRPr="008E634A" w:rsidRDefault="00F76471" w:rsidP="00F76471">
      <w:pPr>
        <w:rPr>
          <w:sz w:val="22"/>
        </w:rPr>
      </w:pPr>
      <w:r w:rsidRPr="008E634A">
        <w:rPr>
          <w:sz w:val="22"/>
        </w:rPr>
        <w:t>This Guidance Note deals with the Authority’s processes</w:t>
      </w:r>
      <w:r w:rsidR="005A3182" w:rsidRPr="008E634A">
        <w:rPr>
          <w:sz w:val="22"/>
        </w:rPr>
        <w:t xml:space="preserve"> </w:t>
      </w:r>
      <w:r w:rsidRPr="008E634A">
        <w:rPr>
          <w:sz w:val="22"/>
        </w:rPr>
        <w:t>when dealing with a worker who lodges a direct worker</w:t>
      </w:r>
      <w:r w:rsidR="00742311" w:rsidRPr="008E634A">
        <w:rPr>
          <w:sz w:val="22"/>
        </w:rPr>
        <w:t xml:space="preserve"> </w:t>
      </w:r>
      <w:r w:rsidRPr="008E634A">
        <w:rPr>
          <w:sz w:val="22"/>
        </w:rPr>
        <w:t>registration application to the Authority where the</w:t>
      </w:r>
      <w:r w:rsidR="005A3182" w:rsidRPr="008E634A">
        <w:rPr>
          <w:sz w:val="22"/>
        </w:rPr>
        <w:t xml:space="preserve"> </w:t>
      </w:r>
      <w:r w:rsidRPr="008E634A">
        <w:rPr>
          <w:sz w:val="22"/>
        </w:rPr>
        <w:t>employer is in existence.</w:t>
      </w:r>
    </w:p>
    <w:p w14:paraId="5129B215" w14:textId="75622BE3" w:rsidR="008D594F" w:rsidRDefault="008D594F">
      <w:pPr>
        <w:spacing w:before="0" w:after="160" w:line="259" w:lineRule="auto"/>
        <w:rPr>
          <w:rStyle w:val="Bold"/>
          <w:rFonts w:ascii="Arial Rounded MT Bold" w:eastAsiaTheme="majorEastAsia" w:hAnsi="Arial Rounded MT Bold" w:cstheme="majorBidi"/>
          <w:color w:val="00575C" w:themeColor="text2"/>
          <w:sz w:val="36"/>
          <w:szCs w:val="32"/>
        </w:rPr>
      </w:pPr>
      <w:r>
        <w:rPr>
          <w:rStyle w:val="Bold"/>
          <w:rFonts w:ascii="Arial Rounded MT Bold" w:eastAsiaTheme="majorEastAsia" w:hAnsi="Arial Rounded MT Bold" w:cstheme="majorBidi"/>
          <w:color w:val="00575C" w:themeColor="text2"/>
          <w:sz w:val="36"/>
          <w:szCs w:val="32"/>
        </w:rPr>
        <w:br w:type="page"/>
      </w:r>
    </w:p>
    <w:p w14:paraId="62395B55" w14:textId="43593A98" w:rsidR="008E634A" w:rsidRPr="00167D45" w:rsidRDefault="008E634A" w:rsidP="003F1F9E">
      <w:pPr>
        <w:pStyle w:val="Heading1"/>
        <w:rPr>
          <w:rStyle w:val="Bold"/>
          <w:rFonts w:ascii="Arial Rounded MT Bold" w:hAnsi="Arial Rounded MT Bold"/>
          <w:b/>
          <w:sz w:val="36"/>
        </w:rPr>
      </w:pPr>
      <w:r w:rsidRPr="008E634A">
        <w:rPr>
          <w:rStyle w:val="Bold"/>
          <w:rFonts w:ascii="Arial Rounded MT Bold" w:hAnsi="Arial Rounded MT Bold"/>
          <w:b/>
          <w:sz w:val="36"/>
        </w:rPr>
        <w:lastRenderedPageBreak/>
        <w:t>Table of contents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119"/>
      </w:tblGrid>
      <w:tr w:rsidR="008E634A" w:rsidRPr="00167D45" w14:paraId="236D74E2" w14:textId="4AA5A1E0" w:rsidTr="00167D45">
        <w:tc>
          <w:tcPr>
            <w:tcW w:w="8075" w:type="dxa"/>
            <w:tcBorders>
              <w:bottom w:val="single" w:sz="4" w:space="0" w:color="auto"/>
            </w:tcBorders>
          </w:tcPr>
          <w:p w14:paraId="130AE12F" w14:textId="77777777" w:rsidR="008E634A" w:rsidRPr="00167D45" w:rsidRDefault="008E634A" w:rsidP="00167D45">
            <w:pPr>
              <w:rPr>
                <w:sz w:val="22"/>
                <w:szCs w:val="24"/>
              </w:rPr>
            </w:pPr>
            <w:r w:rsidRPr="00167D45">
              <w:rPr>
                <w:sz w:val="22"/>
                <w:szCs w:val="24"/>
              </w:rPr>
              <w:t>About this Guidance Note</w:t>
            </w:r>
          </w:p>
        </w:tc>
        <w:tc>
          <w:tcPr>
            <w:tcW w:w="2119" w:type="dxa"/>
            <w:tcBorders>
              <w:bottom w:val="single" w:sz="4" w:space="0" w:color="auto"/>
            </w:tcBorders>
          </w:tcPr>
          <w:p w14:paraId="4F3FF70D" w14:textId="51FAF939" w:rsidR="008E634A" w:rsidRPr="00167D45" w:rsidRDefault="008E634A" w:rsidP="00167D45">
            <w:pPr>
              <w:jc w:val="center"/>
              <w:rPr>
                <w:sz w:val="22"/>
                <w:szCs w:val="24"/>
              </w:rPr>
            </w:pPr>
            <w:r w:rsidRPr="00167D45">
              <w:rPr>
                <w:sz w:val="22"/>
                <w:szCs w:val="24"/>
              </w:rPr>
              <w:t>1</w:t>
            </w:r>
          </w:p>
        </w:tc>
      </w:tr>
      <w:tr w:rsidR="008E634A" w:rsidRPr="00167D45" w14:paraId="13B9D751" w14:textId="63F57E0B" w:rsidTr="00167D45">
        <w:tc>
          <w:tcPr>
            <w:tcW w:w="8075" w:type="dxa"/>
            <w:tcBorders>
              <w:top w:val="single" w:sz="4" w:space="0" w:color="auto"/>
              <w:bottom w:val="single" w:sz="4" w:space="0" w:color="auto"/>
            </w:tcBorders>
          </w:tcPr>
          <w:p w14:paraId="3929CD68" w14:textId="77777777" w:rsidR="008E634A" w:rsidRPr="00167D45" w:rsidRDefault="008E634A" w:rsidP="00167D45">
            <w:pPr>
              <w:rPr>
                <w:sz w:val="22"/>
                <w:szCs w:val="24"/>
              </w:rPr>
            </w:pPr>
            <w:r w:rsidRPr="00167D45">
              <w:rPr>
                <w:sz w:val="22"/>
                <w:szCs w:val="24"/>
              </w:rPr>
              <w:t>PLSA Guidance Notes</w:t>
            </w:r>
          </w:p>
        </w:tc>
        <w:tc>
          <w:tcPr>
            <w:tcW w:w="2119" w:type="dxa"/>
            <w:tcBorders>
              <w:top w:val="single" w:sz="4" w:space="0" w:color="auto"/>
              <w:bottom w:val="single" w:sz="4" w:space="0" w:color="auto"/>
            </w:tcBorders>
          </w:tcPr>
          <w:p w14:paraId="5BF16168" w14:textId="39B3DB8B" w:rsidR="008E634A" w:rsidRPr="00167D45" w:rsidRDefault="009D3739" w:rsidP="00167D45">
            <w:pPr>
              <w:jc w:val="center"/>
              <w:rPr>
                <w:sz w:val="22"/>
                <w:szCs w:val="24"/>
              </w:rPr>
            </w:pPr>
            <w:r>
              <w:rPr>
                <w:sz w:val="22"/>
                <w:szCs w:val="24"/>
              </w:rPr>
              <w:t>4</w:t>
            </w:r>
          </w:p>
        </w:tc>
      </w:tr>
      <w:tr w:rsidR="008E634A" w:rsidRPr="00167D45" w14:paraId="3BA107F9" w14:textId="5632C4D2" w:rsidTr="00167D45">
        <w:tc>
          <w:tcPr>
            <w:tcW w:w="8075" w:type="dxa"/>
            <w:tcBorders>
              <w:top w:val="single" w:sz="4" w:space="0" w:color="auto"/>
              <w:bottom w:val="single" w:sz="4" w:space="0" w:color="auto"/>
            </w:tcBorders>
          </w:tcPr>
          <w:p w14:paraId="5B85EB4E" w14:textId="77777777" w:rsidR="008E634A" w:rsidRPr="00167D45" w:rsidRDefault="008E634A" w:rsidP="00167D45">
            <w:pPr>
              <w:rPr>
                <w:sz w:val="22"/>
                <w:szCs w:val="24"/>
              </w:rPr>
            </w:pPr>
            <w:r w:rsidRPr="00167D45">
              <w:rPr>
                <w:sz w:val="22"/>
                <w:szCs w:val="24"/>
              </w:rPr>
              <w:t>Guidance Note</w:t>
            </w:r>
          </w:p>
        </w:tc>
        <w:tc>
          <w:tcPr>
            <w:tcW w:w="2119" w:type="dxa"/>
            <w:tcBorders>
              <w:top w:val="single" w:sz="4" w:space="0" w:color="auto"/>
              <w:bottom w:val="single" w:sz="4" w:space="0" w:color="auto"/>
            </w:tcBorders>
          </w:tcPr>
          <w:p w14:paraId="74B597A9" w14:textId="72381C1A" w:rsidR="008E634A" w:rsidRPr="00167D45" w:rsidRDefault="009D3739" w:rsidP="00167D45">
            <w:pPr>
              <w:jc w:val="center"/>
              <w:rPr>
                <w:sz w:val="22"/>
                <w:szCs w:val="24"/>
              </w:rPr>
            </w:pPr>
            <w:r>
              <w:rPr>
                <w:sz w:val="22"/>
                <w:szCs w:val="24"/>
              </w:rPr>
              <w:t>5</w:t>
            </w:r>
          </w:p>
        </w:tc>
      </w:tr>
      <w:tr w:rsidR="008E634A" w:rsidRPr="00167D45" w14:paraId="57F0DB44" w14:textId="75881365" w:rsidTr="00167D45">
        <w:tc>
          <w:tcPr>
            <w:tcW w:w="8075" w:type="dxa"/>
            <w:tcBorders>
              <w:top w:val="single" w:sz="4" w:space="0" w:color="auto"/>
            </w:tcBorders>
          </w:tcPr>
          <w:p w14:paraId="2BBB9FDE" w14:textId="77777777" w:rsidR="008E634A" w:rsidRPr="00167D45" w:rsidRDefault="008E634A" w:rsidP="00167D45">
            <w:pPr>
              <w:rPr>
                <w:sz w:val="22"/>
                <w:szCs w:val="24"/>
              </w:rPr>
            </w:pPr>
            <w:r w:rsidRPr="00167D45">
              <w:rPr>
                <w:sz w:val="22"/>
                <w:szCs w:val="24"/>
              </w:rPr>
              <w:t>Appendix 1 – General overview of the Portable Long Service Benefits Scheme</w:t>
            </w:r>
          </w:p>
        </w:tc>
        <w:tc>
          <w:tcPr>
            <w:tcW w:w="2119" w:type="dxa"/>
            <w:tcBorders>
              <w:top w:val="single" w:sz="4" w:space="0" w:color="auto"/>
            </w:tcBorders>
          </w:tcPr>
          <w:p w14:paraId="005D0434" w14:textId="6E0A0131" w:rsidR="008E634A" w:rsidRPr="00167D45" w:rsidRDefault="009D3739" w:rsidP="00167D45">
            <w:pPr>
              <w:jc w:val="center"/>
              <w:rPr>
                <w:sz w:val="22"/>
                <w:szCs w:val="24"/>
              </w:rPr>
            </w:pPr>
            <w:r>
              <w:rPr>
                <w:sz w:val="22"/>
                <w:szCs w:val="24"/>
              </w:rPr>
              <w:t>8</w:t>
            </w:r>
          </w:p>
        </w:tc>
      </w:tr>
    </w:tbl>
    <w:p w14:paraId="26C6ED4A" w14:textId="4B10A2CF" w:rsidR="008E634A" w:rsidRDefault="008E634A">
      <w:pPr>
        <w:spacing w:before="0" w:after="160" w:line="259" w:lineRule="auto"/>
        <w:rPr>
          <w:rFonts w:ascii="Arial Rounded MT Bold" w:eastAsiaTheme="majorEastAsia" w:hAnsi="Arial Rounded MT Bold" w:cstheme="majorBidi"/>
          <w:b/>
          <w:color w:val="00575C" w:themeColor="text2"/>
          <w:sz w:val="24"/>
          <w:szCs w:val="26"/>
        </w:rPr>
      </w:pPr>
    </w:p>
    <w:p w14:paraId="0C6E91E4" w14:textId="77777777" w:rsidR="0001466A" w:rsidRDefault="0001466A">
      <w:pPr>
        <w:spacing w:before="0" w:after="160" w:line="259" w:lineRule="auto"/>
        <w:rPr>
          <w:rFonts w:ascii="Arial Rounded MT Bold" w:eastAsiaTheme="majorEastAsia" w:hAnsi="Arial Rounded MT Bold" w:cstheme="majorBidi"/>
          <w:b/>
          <w:color w:val="00575C" w:themeColor="text2"/>
          <w:sz w:val="36"/>
          <w:szCs w:val="32"/>
        </w:rPr>
      </w:pPr>
      <w:r>
        <w:br w:type="page"/>
      </w:r>
    </w:p>
    <w:p w14:paraId="53D26912" w14:textId="05F112E5" w:rsidR="00742311" w:rsidRDefault="00742311" w:rsidP="003F1F9E">
      <w:pPr>
        <w:pStyle w:val="Heading1"/>
      </w:pPr>
      <w:r>
        <w:lastRenderedPageBreak/>
        <w:t>PLSA Guidance Notes</w:t>
      </w:r>
    </w:p>
    <w:p w14:paraId="2070DBC5" w14:textId="5063457C" w:rsidR="008E634A" w:rsidRPr="008E634A" w:rsidRDefault="008E634A" w:rsidP="008E634A">
      <w:pPr>
        <w:rPr>
          <w:sz w:val="22"/>
          <w:szCs w:val="24"/>
        </w:rPr>
      </w:pPr>
      <w:r w:rsidRPr="008E634A">
        <w:rPr>
          <w:sz w:val="22"/>
          <w:szCs w:val="24"/>
        </w:rPr>
        <w:t xml:space="preserve">The </w:t>
      </w:r>
      <w:r>
        <w:rPr>
          <w:sz w:val="22"/>
          <w:szCs w:val="24"/>
        </w:rPr>
        <w:t>Authority</w:t>
      </w:r>
      <w:r w:rsidRPr="008E634A">
        <w:rPr>
          <w:sz w:val="22"/>
          <w:szCs w:val="24"/>
        </w:rPr>
        <w:t xml:space="preserve"> may issue Guidance Notes from time to time to provide guidance to employers and workers on:</w:t>
      </w:r>
    </w:p>
    <w:p w14:paraId="6E7C3047" w14:textId="2503D12B" w:rsidR="008E634A" w:rsidRPr="008E634A" w:rsidRDefault="008E634A" w:rsidP="008E634A">
      <w:pPr>
        <w:pStyle w:val="ListParagraph"/>
        <w:numPr>
          <w:ilvl w:val="0"/>
          <w:numId w:val="30"/>
        </w:numPr>
        <w:rPr>
          <w:sz w:val="22"/>
          <w:szCs w:val="24"/>
        </w:rPr>
      </w:pPr>
      <w:r w:rsidRPr="008E634A">
        <w:rPr>
          <w:sz w:val="22"/>
          <w:szCs w:val="24"/>
        </w:rPr>
        <w:t xml:space="preserve">explaining when and how the </w:t>
      </w:r>
      <w:r>
        <w:rPr>
          <w:sz w:val="22"/>
          <w:szCs w:val="24"/>
        </w:rPr>
        <w:t>Authority</w:t>
      </w:r>
      <w:r w:rsidRPr="008E634A">
        <w:rPr>
          <w:sz w:val="22"/>
          <w:szCs w:val="24"/>
        </w:rPr>
        <w:t xml:space="preserve"> will exercise specific powers under the Act;</w:t>
      </w:r>
    </w:p>
    <w:p w14:paraId="2D54F580" w14:textId="50F15395" w:rsidR="008E634A" w:rsidRPr="008E634A" w:rsidRDefault="008E634A" w:rsidP="008E634A">
      <w:pPr>
        <w:pStyle w:val="ListParagraph"/>
        <w:numPr>
          <w:ilvl w:val="0"/>
          <w:numId w:val="30"/>
        </w:numPr>
        <w:rPr>
          <w:sz w:val="22"/>
          <w:szCs w:val="24"/>
        </w:rPr>
      </w:pPr>
      <w:r w:rsidRPr="008E634A">
        <w:rPr>
          <w:sz w:val="22"/>
          <w:szCs w:val="24"/>
        </w:rPr>
        <w:t xml:space="preserve">explaining how the </w:t>
      </w:r>
      <w:r>
        <w:rPr>
          <w:sz w:val="22"/>
          <w:szCs w:val="24"/>
        </w:rPr>
        <w:t>Authority</w:t>
      </w:r>
      <w:r w:rsidRPr="008E634A">
        <w:rPr>
          <w:sz w:val="22"/>
          <w:szCs w:val="24"/>
        </w:rPr>
        <w:t xml:space="preserve"> applies the law; and</w:t>
      </w:r>
    </w:p>
    <w:p w14:paraId="614F550E" w14:textId="7F47AD46" w:rsidR="008E634A" w:rsidRPr="008E634A" w:rsidRDefault="008E634A" w:rsidP="008E634A">
      <w:pPr>
        <w:pStyle w:val="ListParagraph"/>
        <w:numPr>
          <w:ilvl w:val="0"/>
          <w:numId w:val="30"/>
        </w:numPr>
        <w:rPr>
          <w:sz w:val="22"/>
          <w:szCs w:val="24"/>
        </w:rPr>
      </w:pPr>
      <w:r w:rsidRPr="008E634A">
        <w:rPr>
          <w:sz w:val="22"/>
          <w:szCs w:val="24"/>
        </w:rPr>
        <w:t xml:space="preserve">describing the principles underlying the </w:t>
      </w:r>
      <w:r>
        <w:rPr>
          <w:sz w:val="22"/>
          <w:szCs w:val="24"/>
        </w:rPr>
        <w:t>Authority’s</w:t>
      </w:r>
      <w:r w:rsidRPr="008E634A">
        <w:rPr>
          <w:sz w:val="22"/>
          <w:szCs w:val="24"/>
        </w:rPr>
        <w:t xml:space="preserve"> approach to giving practical guidance.</w:t>
      </w:r>
    </w:p>
    <w:p w14:paraId="3B7ED3B3" w14:textId="77777777" w:rsidR="008E634A" w:rsidRDefault="008E634A" w:rsidP="008E634A">
      <w:pPr>
        <w:pStyle w:val="Heading2"/>
      </w:pPr>
      <w:r>
        <w:t>Document History</w:t>
      </w:r>
    </w:p>
    <w:p w14:paraId="10BCBDDB" w14:textId="6FC108D3" w:rsidR="008E634A" w:rsidRPr="008E634A" w:rsidRDefault="008E634A" w:rsidP="008E634A">
      <w:pPr>
        <w:rPr>
          <w:sz w:val="22"/>
        </w:rPr>
      </w:pPr>
      <w:r w:rsidRPr="008E634A">
        <w:rPr>
          <w:sz w:val="22"/>
        </w:rPr>
        <w:t>This Guidance Note 2 is issued on 1</w:t>
      </w:r>
      <w:r w:rsidR="00167D45">
        <w:rPr>
          <w:sz w:val="22"/>
        </w:rPr>
        <w:t>6</w:t>
      </w:r>
      <w:r w:rsidRPr="008E634A">
        <w:rPr>
          <w:sz w:val="22"/>
        </w:rPr>
        <w:t xml:space="preserve"> December 2024, based on legislation and regulations in operation as </w:t>
      </w:r>
      <w:proofErr w:type="gramStart"/>
      <w:r w:rsidRPr="008E634A">
        <w:rPr>
          <w:sz w:val="22"/>
        </w:rPr>
        <w:t>at</w:t>
      </w:r>
      <w:proofErr w:type="gramEnd"/>
      <w:r w:rsidRPr="008E634A">
        <w:rPr>
          <w:sz w:val="22"/>
        </w:rPr>
        <w:t xml:space="preserve"> 30 November 2024.</w:t>
      </w:r>
    </w:p>
    <w:p w14:paraId="534DF2B4" w14:textId="60FE4A16" w:rsidR="00742311" w:rsidRDefault="008E634A" w:rsidP="008E634A">
      <w:pPr>
        <w:rPr>
          <w:sz w:val="22"/>
        </w:rPr>
      </w:pPr>
      <w:r w:rsidRPr="008E634A">
        <w:rPr>
          <w:sz w:val="22"/>
        </w:rPr>
        <w:t>Where legislation and regulations are amended, this Guidance Note 2 will not apply to amended provisions although</w:t>
      </w:r>
      <w:r w:rsidR="00167D45">
        <w:rPr>
          <w:sz w:val="22"/>
        </w:rPr>
        <w:t xml:space="preserve"> it</w:t>
      </w:r>
      <w:r w:rsidRPr="008E634A">
        <w:rPr>
          <w:sz w:val="22"/>
        </w:rPr>
        <w:t xml:space="preserve"> will still have applicability to unamended portions of the legislation until updated to reflect changes to the legislation.</w:t>
      </w:r>
    </w:p>
    <w:p w14:paraId="30F0B324" w14:textId="77777777" w:rsidR="008E634A" w:rsidRPr="008E634A" w:rsidRDefault="008E634A" w:rsidP="008E634A">
      <w:pPr>
        <w:pStyle w:val="Heading2"/>
      </w:pPr>
      <w:r w:rsidRPr="008E634A">
        <w:t>Disclaimer</w:t>
      </w:r>
    </w:p>
    <w:p w14:paraId="4A3FE70B" w14:textId="6BA7C8D7" w:rsidR="008E634A" w:rsidRPr="008E634A" w:rsidRDefault="008E634A" w:rsidP="008E634A">
      <w:pPr>
        <w:rPr>
          <w:sz w:val="22"/>
        </w:rPr>
      </w:pPr>
      <w:r w:rsidRPr="008E634A">
        <w:rPr>
          <w:sz w:val="22"/>
        </w:rPr>
        <w:t>This Guidance Note 2 does not substitute the</w:t>
      </w:r>
      <w:r>
        <w:rPr>
          <w:sz w:val="22"/>
        </w:rPr>
        <w:t xml:space="preserve"> </w:t>
      </w:r>
      <w:r w:rsidRPr="008E634A">
        <w:rPr>
          <w:sz w:val="22"/>
        </w:rPr>
        <w:t>need for employers and workers of the Scheme</w:t>
      </w:r>
      <w:r>
        <w:rPr>
          <w:sz w:val="22"/>
        </w:rPr>
        <w:t xml:space="preserve"> </w:t>
      </w:r>
      <w:r w:rsidRPr="008E634A">
        <w:rPr>
          <w:sz w:val="22"/>
        </w:rPr>
        <w:t>to seek</w:t>
      </w:r>
      <w:r>
        <w:rPr>
          <w:sz w:val="22"/>
        </w:rPr>
        <w:t xml:space="preserve"> </w:t>
      </w:r>
      <w:r w:rsidRPr="008E634A">
        <w:rPr>
          <w:sz w:val="22"/>
        </w:rPr>
        <w:t>their own professional advice (where</w:t>
      </w:r>
      <w:r>
        <w:rPr>
          <w:sz w:val="22"/>
        </w:rPr>
        <w:t xml:space="preserve"> </w:t>
      </w:r>
      <w:r w:rsidRPr="008E634A">
        <w:rPr>
          <w:sz w:val="22"/>
        </w:rPr>
        <w:t>relevant) to find out about the operations of the</w:t>
      </w:r>
      <w:r>
        <w:rPr>
          <w:sz w:val="22"/>
        </w:rPr>
        <w:t xml:space="preserve"> </w:t>
      </w:r>
      <w:r w:rsidRPr="008E634A">
        <w:rPr>
          <w:sz w:val="22"/>
        </w:rPr>
        <w:t>Long Service</w:t>
      </w:r>
      <w:r>
        <w:rPr>
          <w:sz w:val="22"/>
        </w:rPr>
        <w:t xml:space="preserve"> </w:t>
      </w:r>
      <w:r w:rsidRPr="008E634A">
        <w:rPr>
          <w:sz w:val="22"/>
        </w:rPr>
        <w:t>Benefits Portability Act 2018 (Vic)</w:t>
      </w:r>
      <w:r>
        <w:rPr>
          <w:sz w:val="22"/>
        </w:rPr>
        <w:t xml:space="preserve"> </w:t>
      </w:r>
      <w:r w:rsidRPr="008E634A">
        <w:rPr>
          <w:sz w:val="22"/>
        </w:rPr>
        <w:t>and the Long Service Benefits Regulations 2020</w:t>
      </w:r>
      <w:r>
        <w:rPr>
          <w:sz w:val="22"/>
        </w:rPr>
        <w:t xml:space="preserve"> </w:t>
      </w:r>
      <w:r w:rsidRPr="008E634A">
        <w:rPr>
          <w:sz w:val="22"/>
        </w:rPr>
        <w:t>(Vic) and how these laws apply to each specific</w:t>
      </w:r>
      <w:r>
        <w:rPr>
          <w:sz w:val="22"/>
        </w:rPr>
        <w:t xml:space="preserve"> </w:t>
      </w:r>
      <w:r w:rsidRPr="008E634A">
        <w:rPr>
          <w:sz w:val="22"/>
        </w:rPr>
        <w:t>set of facts and circumstances.</w:t>
      </w:r>
    </w:p>
    <w:p w14:paraId="0F277273" w14:textId="0F30370A" w:rsidR="008E634A" w:rsidRDefault="008E634A" w:rsidP="008E634A">
      <w:pPr>
        <w:rPr>
          <w:sz w:val="22"/>
        </w:rPr>
      </w:pPr>
      <w:r w:rsidRPr="008E634A">
        <w:rPr>
          <w:sz w:val="22"/>
        </w:rPr>
        <w:t>Examples and additional information (provided</w:t>
      </w:r>
      <w:r>
        <w:rPr>
          <w:sz w:val="22"/>
        </w:rPr>
        <w:t xml:space="preserve"> </w:t>
      </w:r>
      <w:r w:rsidRPr="008E634A">
        <w:rPr>
          <w:sz w:val="22"/>
        </w:rPr>
        <w:t>in italics) in this guide are for illustrative</w:t>
      </w:r>
      <w:r>
        <w:rPr>
          <w:sz w:val="22"/>
        </w:rPr>
        <w:t xml:space="preserve"> </w:t>
      </w:r>
      <w:r w:rsidRPr="008E634A">
        <w:rPr>
          <w:sz w:val="22"/>
        </w:rPr>
        <w:t xml:space="preserve">purposes only: </w:t>
      </w:r>
      <w:r>
        <w:rPr>
          <w:sz w:val="22"/>
        </w:rPr>
        <w:t xml:space="preserve"> t</w:t>
      </w:r>
      <w:r w:rsidRPr="008E634A">
        <w:rPr>
          <w:sz w:val="22"/>
        </w:rPr>
        <w:t>hey are not exhaustive and not</w:t>
      </w:r>
      <w:r>
        <w:rPr>
          <w:sz w:val="22"/>
        </w:rPr>
        <w:t xml:space="preserve"> </w:t>
      </w:r>
      <w:r w:rsidRPr="008E634A">
        <w:rPr>
          <w:sz w:val="22"/>
        </w:rPr>
        <w:t xml:space="preserve">intended to impose or imply </w:t>
      </w:r>
      <w:proofErr w:type="gramStart"/>
      <w:r w:rsidRPr="008E634A">
        <w:rPr>
          <w:sz w:val="22"/>
        </w:rPr>
        <w:t>particular rules</w:t>
      </w:r>
      <w:proofErr w:type="gramEnd"/>
      <w:r w:rsidRPr="008E634A">
        <w:rPr>
          <w:sz w:val="22"/>
        </w:rPr>
        <w:t xml:space="preserve"> or</w:t>
      </w:r>
      <w:r>
        <w:rPr>
          <w:sz w:val="22"/>
        </w:rPr>
        <w:t xml:space="preserve"> </w:t>
      </w:r>
      <w:r w:rsidRPr="008E634A">
        <w:rPr>
          <w:sz w:val="22"/>
        </w:rPr>
        <w:t>requirements.</w:t>
      </w:r>
    </w:p>
    <w:p w14:paraId="2D1B8889" w14:textId="77777777" w:rsidR="0001466A" w:rsidRDefault="0001466A">
      <w:pPr>
        <w:spacing w:before="0" w:after="160" w:line="259" w:lineRule="auto"/>
        <w:rPr>
          <w:rFonts w:ascii="Arial Rounded MT Bold" w:eastAsiaTheme="majorEastAsia" w:hAnsi="Arial Rounded MT Bold" w:cstheme="majorBidi"/>
          <w:b/>
          <w:color w:val="00575C" w:themeColor="text2"/>
          <w:sz w:val="36"/>
          <w:szCs w:val="32"/>
        </w:rPr>
      </w:pPr>
      <w:r>
        <w:br w:type="page"/>
      </w:r>
    </w:p>
    <w:p w14:paraId="7B096EB5" w14:textId="123C4479" w:rsidR="00167D45" w:rsidRDefault="00167D45" w:rsidP="00167D45">
      <w:pPr>
        <w:pStyle w:val="Heading1"/>
      </w:pPr>
      <w:r>
        <w:lastRenderedPageBreak/>
        <w:t>Guidance Note</w:t>
      </w:r>
    </w:p>
    <w:p w14:paraId="31294D54" w14:textId="1B34B911" w:rsidR="00167D45" w:rsidRDefault="00167D45" w:rsidP="00622D23">
      <w:pPr>
        <w:pStyle w:val="Heading2"/>
      </w:pPr>
      <w:r w:rsidRPr="00167D45">
        <w:t>Can an unregistered worker make a direct application to the Authority to be registered into the Scheme under the Act?</w:t>
      </w:r>
    </w:p>
    <w:p w14:paraId="042C7ADA" w14:textId="77777777" w:rsidR="00167D45" w:rsidRDefault="00167D45" w:rsidP="00167D45">
      <w:pPr>
        <w:pStyle w:val="Heading3"/>
      </w:pPr>
      <w:r w:rsidRPr="00167D45">
        <w:t xml:space="preserve">GN 2.1 </w:t>
      </w:r>
    </w:p>
    <w:p w14:paraId="1BDAC9C7" w14:textId="63BDD1F4" w:rsidR="00167D45" w:rsidRPr="00167D45" w:rsidRDefault="00167D45" w:rsidP="00167D45">
      <w:pPr>
        <w:rPr>
          <w:sz w:val="22"/>
        </w:rPr>
      </w:pPr>
      <w:r w:rsidRPr="00167D45">
        <w:rPr>
          <w:sz w:val="22"/>
        </w:rPr>
        <w:t>The purpose of the Long Service Benefits Portability Act 2019 (Vic) is to provide</w:t>
      </w:r>
      <w:r>
        <w:rPr>
          <w:sz w:val="22"/>
        </w:rPr>
        <w:t xml:space="preserve"> </w:t>
      </w:r>
      <w:r w:rsidRPr="00167D45">
        <w:rPr>
          <w:sz w:val="22"/>
        </w:rPr>
        <w:t>portability of long service benefits in certain sectors and industries. As of the date of this Guidance Note, these industries include the community services, the contract</w:t>
      </w:r>
      <w:r>
        <w:rPr>
          <w:sz w:val="22"/>
        </w:rPr>
        <w:t xml:space="preserve"> </w:t>
      </w:r>
      <w:r w:rsidRPr="00167D45">
        <w:rPr>
          <w:sz w:val="22"/>
        </w:rPr>
        <w:t>cleaning and the security industry.</w:t>
      </w:r>
    </w:p>
    <w:p w14:paraId="2708A7E9" w14:textId="4A18BA5C" w:rsidR="00167D45" w:rsidRPr="00167D45" w:rsidRDefault="00167D45" w:rsidP="00167D45">
      <w:pPr>
        <w:rPr>
          <w:sz w:val="22"/>
        </w:rPr>
      </w:pPr>
      <w:r w:rsidRPr="00167D45">
        <w:rPr>
          <w:sz w:val="22"/>
        </w:rPr>
        <w:t>The main purpose of the legislation is to provide portability of long service benefits</w:t>
      </w:r>
      <w:r>
        <w:rPr>
          <w:sz w:val="22"/>
        </w:rPr>
        <w:t xml:space="preserve"> </w:t>
      </w:r>
      <w:r w:rsidRPr="00167D45">
        <w:rPr>
          <w:sz w:val="22"/>
        </w:rPr>
        <w:t>in certain industries.</w:t>
      </w:r>
    </w:p>
    <w:p w14:paraId="1DBF55B8" w14:textId="77777777" w:rsidR="00167D45" w:rsidRDefault="00167D45" w:rsidP="00167D45">
      <w:pPr>
        <w:pStyle w:val="Heading3"/>
      </w:pPr>
      <w:r w:rsidRPr="00167D45">
        <w:t xml:space="preserve">GN 2.2 </w:t>
      </w:r>
    </w:p>
    <w:p w14:paraId="121E5FE7" w14:textId="3A139EC9" w:rsidR="00167D45" w:rsidRPr="00167D45" w:rsidRDefault="00167D45" w:rsidP="00167D45">
      <w:pPr>
        <w:rPr>
          <w:sz w:val="22"/>
        </w:rPr>
      </w:pPr>
      <w:r w:rsidRPr="00167D45">
        <w:rPr>
          <w:sz w:val="22"/>
        </w:rPr>
        <w:t>In situations where an employer is in existence, two situations can arise:</w:t>
      </w:r>
    </w:p>
    <w:p w14:paraId="7DC5947F" w14:textId="486D61A0" w:rsidR="00622D23" w:rsidRDefault="00167D45" w:rsidP="00167D45">
      <w:pPr>
        <w:pStyle w:val="ListParagraph"/>
        <w:numPr>
          <w:ilvl w:val="0"/>
          <w:numId w:val="31"/>
        </w:numPr>
        <w:rPr>
          <w:sz w:val="22"/>
        </w:rPr>
      </w:pPr>
      <w:r w:rsidRPr="00167D45">
        <w:rPr>
          <w:sz w:val="22"/>
        </w:rPr>
        <w:t>The employer has registered with the Authority as an eligible employer but not registered the worker seeking to make a direct application for registration to the Authority; or</w:t>
      </w:r>
    </w:p>
    <w:p w14:paraId="65F36B19" w14:textId="14AAE687" w:rsidR="00167D45" w:rsidRPr="00167D45" w:rsidRDefault="00167D45" w:rsidP="00167D45">
      <w:pPr>
        <w:pStyle w:val="ListParagraph"/>
        <w:numPr>
          <w:ilvl w:val="0"/>
          <w:numId w:val="31"/>
        </w:numPr>
        <w:rPr>
          <w:sz w:val="22"/>
        </w:rPr>
      </w:pPr>
      <w:r w:rsidRPr="00167D45">
        <w:rPr>
          <w:sz w:val="22"/>
        </w:rPr>
        <w:t>The employer has not registered with the Authority as an eligible employer (and therefore has not registered the worker seeking to make a direct application for registration to the Authority).</w:t>
      </w:r>
    </w:p>
    <w:p w14:paraId="5D32CD2F" w14:textId="77777777" w:rsidR="00167D45" w:rsidRDefault="00167D45" w:rsidP="00167D45">
      <w:pPr>
        <w:pStyle w:val="Heading3"/>
      </w:pPr>
      <w:r w:rsidRPr="00167D45">
        <w:t xml:space="preserve">GN 2.3 </w:t>
      </w:r>
    </w:p>
    <w:p w14:paraId="5D17EC7C" w14:textId="647E5293" w:rsidR="00167D45" w:rsidRPr="00167D45" w:rsidRDefault="00167D45" w:rsidP="00167D45">
      <w:pPr>
        <w:rPr>
          <w:sz w:val="22"/>
        </w:rPr>
      </w:pPr>
      <w:r w:rsidRPr="00167D45">
        <w:rPr>
          <w:sz w:val="22"/>
        </w:rPr>
        <w:t>In both cases, the Authority will commence investigations into potential contraventions of the Act under either section 11 for failure to register as an employer, or section 27 for failure of including the required information on quarterly return submissions.</w:t>
      </w:r>
    </w:p>
    <w:p w14:paraId="0A579F53" w14:textId="77777777" w:rsidR="00167D45" w:rsidRDefault="00167D45" w:rsidP="00167D45">
      <w:pPr>
        <w:pStyle w:val="Heading3"/>
      </w:pPr>
      <w:r w:rsidRPr="00167D45">
        <w:t xml:space="preserve">GN 2.4 </w:t>
      </w:r>
    </w:p>
    <w:p w14:paraId="15AF1C16" w14:textId="7B5A8774" w:rsidR="00167D45" w:rsidRDefault="00167D45" w:rsidP="00167D45">
      <w:pPr>
        <w:rPr>
          <w:sz w:val="22"/>
        </w:rPr>
      </w:pPr>
      <w:r w:rsidRPr="00167D45">
        <w:rPr>
          <w:sz w:val="22"/>
        </w:rPr>
        <w:t>In most situations it is intended that eligible workers will be registered by their employer,</w:t>
      </w:r>
      <w:r>
        <w:rPr>
          <w:sz w:val="22"/>
        </w:rPr>
        <w:t xml:space="preserve"> </w:t>
      </w:r>
      <w:r w:rsidRPr="00167D45">
        <w:rPr>
          <w:sz w:val="22"/>
        </w:rPr>
        <w:t xml:space="preserve">either voluntarily or </w:t>
      </w:r>
      <w:proofErr w:type="gramStart"/>
      <w:r w:rsidRPr="00167D45">
        <w:rPr>
          <w:sz w:val="22"/>
        </w:rPr>
        <w:t>as a consequence of</w:t>
      </w:r>
      <w:proofErr w:type="gramEnd"/>
      <w:r w:rsidRPr="00167D45">
        <w:rPr>
          <w:sz w:val="22"/>
        </w:rPr>
        <w:t xml:space="preserve"> compliance and enforcement activity conducted</w:t>
      </w:r>
      <w:r>
        <w:rPr>
          <w:sz w:val="22"/>
        </w:rPr>
        <w:t xml:space="preserve"> </w:t>
      </w:r>
      <w:r w:rsidRPr="00167D45">
        <w:rPr>
          <w:sz w:val="22"/>
        </w:rPr>
        <w:t>by the Authority. However, it is the opinion of the Authority that Part 3 – Division 3</w:t>
      </w:r>
      <w:r>
        <w:rPr>
          <w:sz w:val="22"/>
        </w:rPr>
        <w:t xml:space="preserve"> </w:t>
      </w:r>
      <w:r w:rsidRPr="00167D45">
        <w:rPr>
          <w:sz w:val="22"/>
        </w:rPr>
        <w:t>(sections 16 to 22) of the Act provides for a worker to make a direct application to</w:t>
      </w:r>
      <w:r>
        <w:rPr>
          <w:sz w:val="22"/>
        </w:rPr>
        <w:t xml:space="preserve"> </w:t>
      </w:r>
      <w:r w:rsidRPr="00167D45">
        <w:rPr>
          <w:sz w:val="22"/>
        </w:rPr>
        <w:t>the Authority</w:t>
      </w:r>
      <w:r w:rsidR="00622D23">
        <w:rPr>
          <w:sz w:val="22"/>
        </w:rPr>
        <w:t>.</w:t>
      </w:r>
    </w:p>
    <w:p w14:paraId="0BF21427" w14:textId="2A3B560B" w:rsidR="00622D23" w:rsidRPr="00622D23" w:rsidRDefault="00622D23" w:rsidP="00622D23">
      <w:pPr>
        <w:pStyle w:val="Heading2"/>
      </w:pPr>
      <w:r w:rsidRPr="00622D23">
        <w:t>Does the Act allow a worker to apply for registration where a worker is already registered as an eligible worker?</w:t>
      </w:r>
    </w:p>
    <w:p w14:paraId="300AD287" w14:textId="77777777" w:rsidR="00622D23" w:rsidRDefault="00622D23" w:rsidP="00622D23">
      <w:pPr>
        <w:pStyle w:val="Heading3"/>
      </w:pPr>
      <w:r w:rsidRPr="00622D23">
        <w:t xml:space="preserve">GN 2.5 </w:t>
      </w:r>
    </w:p>
    <w:p w14:paraId="60FBE333" w14:textId="3CF57809" w:rsidR="00622D23" w:rsidRPr="00622D23" w:rsidRDefault="00622D23" w:rsidP="00622D23">
      <w:pPr>
        <w:rPr>
          <w:sz w:val="22"/>
        </w:rPr>
      </w:pPr>
      <w:r w:rsidRPr="00622D23">
        <w:rPr>
          <w:sz w:val="22"/>
        </w:rPr>
        <w:t>Workers that are already registered into the Scheme cannot apply a second time for registration.</w:t>
      </w:r>
    </w:p>
    <w:p w14:paraId="76BC5BE2" w14:textId="2A43ED00" w:rsidR="00622D23" w:rsidRPr="00622D23" w:rsidRDefault="00622D23" w:rsidP="00622D23">
      <w:pPr>
        <w:rPr>
          <w:sz w:val="22"/>
        </w:rPr>
      </w:pPr>
      <w:r w:rsidRPr="00622D23">
        <w:rPr>
          <w:sz w:val="22"/>
        </w:rPr>
        <w:t>Where a worker is registered but is of the view that they have missing entitlements, the worker should complete a Missing Service Claim form. This includes the situation where there has been a change in employment for the worker.</w:t>
      </w:r>
    </w:p>
    <w:p w14:paraId="1F8FCACA" w14:textId="0AE7D0FA" w:rsidR="00622D23" w:rsidRPr="00622D23" w:rsidRDefault="00622D23" w:rsidP="00622D23">
      <w:pPr>
        <w:pStyle w:val="Heading2"/>
      </w:pPr>
      <w:r w:rsidRPr="00622D23">
        <w:t>Does Part 3 – Division 3 of the Act allow a worker to apply for registration where an employer is already a registered eligible employer?</w:t>
      </w:r>
    </w:p>
    <w:p w14:paraId="66CAAF9D" w14:textId="77777777" w:rsidR="00622D23" w:rsidRDefault="00622D23" w:rsidP="00622D23">
      <w:pPr>
        <w:pStyle w:val="Heading3"/>
      </w:pPr>
      <w:r w:rsidRPr="00622D23">
        <w:t xml:space="preserve">GN 2.6 </w:t>
      </w:r>
    </w:p>
    <w:p w14:paraId="6A637335" w14:textId="03837FCE" w:rsidR="00622D23" w:rsidRPr="00622D23" w:rsidRDefault="00622D23" w:rsidP="00622D23">
      <w:pPr>
        <w:rPr>
          <w:sz w:val="22"/>
        </w:rPr>
      </w:pPr>
      <w:proofErr w:type="gramStart"/>
      <w:r w:rsidRPr="00622D23">
        <w:rPr>
          <w:sz w:val="22"/>
        </w:rPr>
        <w:t>As long as</w:t>
      </w:r>
      <w:proofErr w:type="gramEnd"/>
      <w:r w:rsidRPr="00622D23">
        <w:rPr>
          <w:sz w:val="22"/>
        </w:rPr>
        <w:t xml:space="preserve"> the worker is not already registered, nothing in the Act precludes an individual from otherwise making an application for registration as a worker to the Scheme irrespective of whether the employer is registered or not.</w:t>
      </w:r>
    </w:p>
    <w:p w14:paraId="4D73BE13" w14:textId="7A48AE3B" w:rsidR="00622D23" w:rsidRPr="00622D23" w:rsidRDefault="00622D23" w:rsidP="00622D23">
      <w:pPr>
        <w:rPr>
          <w:sz w:val="22"/>
        </w:rPr>
      </w:pPr>
      <w:r w:rsidRPr="00622D23">
        <w:rPr>
          <w:sz w:val="22"/>
        </w:rPr>
        <w:t>In reaching a decision on an application by a worker to apply for registration to the Scheme, is the Authority required to consider the views of the employer that has not registered the worker in question?</w:t>
      </w:r>
    </w:p>
    <w:p w14:paraId="69C0E2F6" w14:textId="77777777" w:rsidR="00622D23" w:rsidRDefault="00622D23" w:rsidP="00622D23">
      <w:pPr>
        <w:pStyle w:val="Heading3"/>
      </w:pPr>
      <w:r w:rsidRPr="00622D23">
        <w:t xml:space="preserve">GN 2.7 </w:t>
      </w:r>
    </w:p>
    <w:p w14:paraId="6C4FB3CB" w14:textId="6F534D14" w:rsidR="00622D23" w:rsidRPr="00622D23" w:rsidRDefault="00622D23" w:rsidP="00622D23">
      <w:pPr>
        <w:rPr>
          <w:sz w:val="22"/>
        </w:rPr>
      </w:pPr>
      <w:r w:rsidRPr="00622D23">
        <w:rPr>
          <w:sz w:val="22"/>
        </w:rPr>
        <w:t xml:space="preserve">While the Long Service Benefits Portability Act 2019 (Vic) is silent on this issue, it is the opinion of the Authority that </w:t>
      </w:r>
      <w:proofErr w:type="gramStart"/>
      <w:r w:rsidRPr="00622D23">
        <w:rPr>
          <w:sz w:val="22"/>
        </w:rPr>
        <w:t>in order to</w:t>
      </w:r>
      <w:proofErr w:type="gramEnd"/>
      <w:r w:rsidRPr="00622D23">
        <w:rPr>
          <w:sz w:val="22"/>
        </w:rPr>
        <w:t xml:space="preserve"> be satisfied that a worker is a covered worker for the Scheme, it is required to </w:t>
      </w:r>
      <w:r w:rsidRPr="00622D23">
        <w:rPr>
          <w:sz w:val="22"/>
        </w:rPr>
        <w:lastRenderedPageBreak/>
        <w:t>make reasonable inquiries about the eligibility of the employer as well as the nature of the work performed by the worker.</w:t>
      </w:r>
    </w:p>
    <w:p w14:paraId="416090B1" w14:textId="77777777" w:rsidR="00622D23" w:rsidRDefault="00622D23" w:rsidP="00622D23">
      <w:pPr>
        <w:pStyle w:val="Heading3"/>
      </w:pPr>
      <w:r w:rsidRPr="00622D23">
        <w:t xml:space="preserve">GN 2.8 </w:t>
      </w:r>
    </w:p>
    <w:p w14:paraId="48B16B3B" w14:textId="57D5D531" w:rsidR="00622D23" w:rsidRPr="00622D23" w:rsidRDefault="00622D23" w:rsidP="00622D23">
      <w:pPr>
        <w:rPr>
          <w:sz w:val="22"/>
        </w:rPr>
      </w:pPr>
      <w:r w:rsidRPr="00622D23">
        <w:rPr>
          <w:sz w:val="22"/>
        </w:rPr>
        <w:t>This would require in almost all cases inquiries to both the worker and the employer allowing for a reasonable timeframe of not less than 28 days for an employer to respond to the Authority’s questions.</w:t>
      </w:r>
    </w:p>
    <w:p w14:paraId="596B9345" w14:textId="77777777" w:rsidR="00622D23" w:rsidRPr="00622D23" w:rsidRDefault="00622D23" w:rsidP="00622D23">
      <w:pPr>
        <w:rPr>
          <w:sz w:val="22"/>
        </w:rPr>
      </w:pPr>
      <w:r w:rsidRPr="00622D23">
        <w:rPr>
          <w:sz w:val="22"/>
        </w:rPr>
        <w:t>GN 2.9 This is because implicit to an application of registration by a worker where an eligible employer has not registered the worker under section 17 of the Act is the implication that the eligible employer ought to have registered the worker but has not done so. In this situation, it is appropriate to understand both the worker and the employer perspective on eligibility of the worker for the Scheme.</w:t>
      </w:r>
    </w:p>
    <w:p w14:paraId="32070D76" w14:textId="4D4464CA" w:rsidR="00622D23" w:rsidRPr="00622D23" w:rsidRDefault="00622D23" w:rsidP="00622D23">
      <w:pPr>
        <w:rPr>
          <w:sz w:val="22"/>
        </w:rPr>
      </w:pPr>
      <w:r w:rsidRPr="00622D23">
        <w:rPr>
          <w:sz w:val="22"/>
        </w:rPr>
        <w:t xml:space="preserve">The Authority will not register a worker unless it is satisfied that the worker is covered and that </w:t>
      </w:r>
      <w:proofErr w:type="gramStart"/>
      <w:r w:rsidRPr="00622D23">
        <w:rPr>
          <w:sz w:val="22"/>
        </w:rPr>
        <w:t>in order to</w:t>
      </w:r>
      <w:proofErr w:type="gramEnd"/>
      <w:r w:rsidRPr="00622D23">
        <w:rPr>
          <w:sz w:val="22"/>
        </w:rPr>
        <w:t xml:space="preserve"> be satisfied, it is required to make reasonable inquiries in support of their coverage.</w:t>
      </w:r>
    </w:p>
    <w:p w14:paraId="267E10C2" w14:textId="77777777" w:rsidR="00622D23" w:rsidRDefault="00622D23" w:rsidP="00622D23">
      <w:pPr>
        <w:pStyle w:val="Heading3"/>
      </w:pPr>
      <w:r w:rsidRPr="00622D23">
        <w:t xml:space="preserve">GN 2.10 </w:t>
      </w:r>
    </w:p>
    <w:p w14:paraId="539C4514" w14:textId="53DB7E03" w:rsidR="00622D23" w:rsidRPr="00622D23" w:rsidRDefault="00622D23" w:rsidP="00622D23">
      <w:pPr>
        <w:rPr>
          <w:sz w:val="22"/>
        </w:rPr>
      </w:pPr>
      <w:r w:rsidRPr="00622D23">
        <w:rPr>
          <w:sz w:val="22"/>
        </w:rPr>
        <w:t xml:space="preserve">The above does not preclude the Authority from </w:t>
      </w:r>
      <w:proofErr w:type="gramStart"/>
      <w:r w:rsidRPr="00622D23">
        <w:rPr>
          <w:sz w:val="22"/>
        </w:rPr>
        <w:t>making a decision</w:t>
      </w:r>
      <w:proofErr w:type="gramEnd"/>
      <w:r w:rsidRPr="00622D23">
        <w:rPr>
          <w:sz w:val="22"/>
        </w:rPr>
        <w:t xml:space="preserve"> in the event that an employer is no longer in existence or does not wish to cooperate with the Authority.</w:t>
      </w:r>
    </w:p>
    <w:p w14:paraId="49726211" w14:textId="4DB34E08" w:rsidR="00622D23" w:rsidRPr="00622D23" w:rsidRDefault="00622D23" w:rsidP="00622D23">
      <w:pPr>
        <w:pStyle w:val="Heading2"/>
      </w:pPr>
      <w:r w:rsidRPr="00622D23">
        <w:t xml:space="preserve">Where an application for registration is made by a worker and the employer is already registered with the Scheme, can the Authority conclude the application after it has completed its investigation, or must the Authority </w:t>
      </w:r>
      <w:proofErr w:type="gramStart"/>
      <w:r w:rsidRPr="00622D23">
        <w:t>make a decision</w:t>
      </w:r>
      <w:proofErr w:type="gramEnd"/>
      <w:r w:rsidRPr="00622D23">
        <w:t xml:space="preserve"> prior to making an investigation?</w:t>
      </w:r>
    </w:p>
    <w:p w14:paraId="4345C7C6" w14:textId="77777777" w:rsidR="00622D23" w:rsidRDefault="00622D23" w:rsidP="00622D23">
      <w:pPr>
        <w:pStyle w:val="Heading3"/>
      </w:pPr>
      <w:r w:rsidRPr="00622D23">
        <w:t xml:space="preserve">GN 2.11 </w:t>
      </w:r>
    </w:p>
    <w:p w14:paraId="44290543" w14:textId="08FBE9D2" w:rsidR="00622D23" w:rsidRPr="00622D23" w:rsidRDefault="00622D23" w:rsidP="00622D23">
      <w:pPr>
        <w:rPr>
          <w:sz w:val="22"/>
        </w:rPr>
      </w:pPr>
      <w:r w:rsidRPr="00622D23">
        <w:rPr>
          <w:sz w:val="22"/>
        </w:rPr>
        <w:t xml:space="preserve">Where a worker is eligible for the Scheme, their entitlements will ultimately be recognised by the Authority. Whether an employer </w:t>
      </w:r>
      <w:proofErr w:type="gramStart"/>
      <w:r w:rsidRPr="00622D23">
        <w:rPr>
          <w:sz w:val="22"/>
        </w:rPr>
        <w:t>makes a contribution</w:t>
      </w:r>
      <w:proofErr w:type="gramEnd"/>
      <w:r w:rsidRPr="00622D23">
        <w:rPr>
          <w:sz w:val="22"/>
        </w:rPr>
        <w:t xml:space="preserve"> for an individual worker’s entitlement to the Scheme is a matter for the Authority in regulating the Scheme according to the legislation, as well as a matter of compliance and enforcement to ensure continued viability of the Scheme and equity to all employers.</w:t>
      </w:r>
    </w:p>
    <w:p w14:paraId="5D45785C" w14:textId="2C81C1FE" w:rsidR="00622D23" w:rsidRPr="00622D23" w:rsidRDefault="00622D23" w:rsidP="00622D23">
      <w:pPr>
        <w:rPr>
          <w:sz w:val="22"/>
        </w:rPr>
      </w:pPr>
      <w:r w:rsidRPr="00622D23">
        <w:rPr>
          <w:sz w:val="22"/>
        </w:rPr>
        <w:t>It would therefore be in the interests of efficient administration of the Scheme for all stakeholders that the Authority complete its investigations in the first instance and afford the employer an opportunity to register a worker and make the appropriate contributions in the first instance.</w:t>
      </w:r>
    </w:p>
    <w:p w14:paraId="398A9558" w14:textId="77777777" w:rsidR="00622D23" w:rsidRDefault="00622D23" w:rsidP="00622D23">
      <w:pPr>
        <w:pStyle w:val="Heading3"/>
      </w:pPr>
      <w:r w:rsidRPr="00622D23">
        <w:t xml:space="preserve">GN 2.12 </w:t>
      </w:r>
    </w:p>
    <w:p w14:paraId="774CB1A9" w14:textId="6992A32B" w:rsidR="00622D23" w:rsidRPr="00622D23" w:rsidRDefault="00622D23" w:rsidP="00622D23">
      <w:pPr>
        <w:rPr>
          <w:sz w:val="22"/>
        </w:rPr>
      </w:pPr>
      <w:r w:rsidRPr="00622D23">
        <w:rPr>
          <w:sz w:val="22"/>
        </w:rPr>
        <w:t>Notwithstanding the above, the Authority is of the view that if an employer does not wish to cooperate with the Authority’s investigation or there may otherwise be exceptional circumstances that result in a prolonged delay to the determination of an application for worker registration, then the Authority can register the worker and may use that fact to support its compliance / enforcement activities.</w:t>
      </w:r>
    </w:p>
    <w:p w14:paraId="54489E0C" w14:textId="77777777" w:rsidR="00622D23" w:rsidRPr="00622D23" w:rsidRDefault="00622D23" w:rsidP="00622D23">
      <w:pPr>
        <w:pStyle w:val="Heading2"/>
      </w:pPr>
      <w:r w:rsidRPr="00622D23">
        <w:t>When will an eligible worker be directly registered following an application for direct worker registration into the Scheme?</w:t>
      </w:r>
    </w:p>
    <w:p w14:paraId="4925193E" w14:textId="77777777" w:rsidR="00622D23" w:rsidRDefault="00622D23" w:rsidP="00622D23">
      <w:pPr>
        <w:pStyle w:val="Heading3"/>
      </w:pPr>
      <w:r w:rsidRPr="00622D23">
        <w:t xml:space="preserve">GN 2.13 </w:t>
      </w:r>
    </w:p>
    <w:p w14:paraId="00E423BB" w14:textId="426C206F" w:rsidR="00622D23" w:rsidRPr="00622D23" w:rsidRDefault="00622D23" w:rsidP="00622D23">
      <w:pPr>
        <w:rPr>
          <w:sz w:val="22"/>
        </w:rPr>
      </w:pPr>
      <w:r w:rsidRPr="00622D23">
        <w:rPr>
          <w:sz w:val="22"/>
        </w:rPr>
        <w:t>A worker is directly registered when the Authority registers the worker into the Worker Register. In the case of an application for direct worker registration into the Scheme, this will occur:</w:t>
      </w:r>
    </w:p>
    <w:p w14:paraId="4B3B6997" w14:textId="1F4EEF15" w:rsidR="00622D23" w:rsidRPr="00622D23" w:rsidRDefault="00622D23" w:rsidP="00622D23">
      <w:pPr>
        <w:pStyle w:val="ListParagraph"/>
        <w:numPr>
          <w:ilvl w:val="0"/>
          <w:numId w:val="32"/>
        </w:numPr>
        <w:rPr>
          <w:sz w:val="22"/>
        </w:rPr>
      </w:pPr>
      <w:r w:rsidRPr="00622D23">
        <w:rPr>
          <w:sz w:val="22"/>
        </w:rPr>
        <w:t>After the completion of any investigations that the Authority considers necessary; and</w:t>
      </w:r>
    </w:p>
    <w:p w14:paraId="414EA996" w14:textId="40175D0F" w:rsidR="00622D23" w:rsidRPr="00622D23" w:rsidRDefault="00622D23" w:rsidP="00622D23">
      <w:pPr>
        <w:pStyle w:val="ListParagraph"/>
        <w:numPr>
          <w:ilvl w:val="0"/>
          <w:numId w:val="32"/>
        </w:numPr>
        <w:rPr>
          <w:sz w:val="22"/>
        </w:rPr>
      </w:pPr>
      <w:r w:rsidRPr="00622D23">
        <w:rPr>
          <w:sz w:val="22"/>
        </w:rPr>
        <w:t>Provided the employer with an opportunity to register (if they are not already registered) so that the employer can include the worker into their quarterly return; and</w:t>
      </w:r>
    </w:p>
    <w:p w14:paraId="01CCBBBC" w14:textId="63AF7DDA" w:rsidR="00622D23" w:rsidRPr="00622D23" w:rsidRDefault="00622D23" w:rsidP="00622D23">
      <w:pPr>
        <w:pStyle w:val="ListParagraph"/>
        <w:numPr>
          <w:ilvl w:val="0"/>
          <w:numId w:val="32"/>
        </w:numPr>
        <w:rPr>
          <w:sz w:val="22"/>
        </w:rPr>
      </w:pPr>
      <w:r w:rsidRPr="00622D23">
        <w:rPr>
          <w:sz w:val="22"/>
        </w:rPr>
        <w:t>Notwithstanding the above, the employer has continued to fail to include the eligible worker in their quarterly returns in breach of section 27 of the Act.</w:t>
      </w:r>
    </w:p>
    <w:p w14:paraId="1C9E0E1E" w14:textId="5F2FA8D0" w:rsidR="00622D23" w:rsidRPr="00622D23" w:rsidRDefault="00622D23" w:rsidP="00622D23">
      <w:pPr>
        <w:rPr>
          <w:sz w:val="22"/>
        </w:rPr>
      </w:pPr>
      <w:r w:rsidRPr="00622D23">
        <w:rPr>
          <w:sz w:val="22"/>
        </w:rPr>
        <w:lastRenderedPageBreak/>
        <w:t>Following the above, if the Authority is satisfied that the worker making the application for direct registration is covered, then the worker will be registered into the Worker Register of the Scheme.</w:t>
      </w:r>
    </w:p>
    <w:p w14:paraId="1BB63433" w14:textId="2F462DFA" w:rsidR="00622D23" w:rsidRPr="00622D23" w:rsidRDefault="00622D23" w:rsidP="00622D23">
      <w:pPr>
        <w:rPr>
          <w:sz w:val="22"/>
        </w:rPr>
      </w:pPr>
      <w:r w:rsidRPr="00622D23">
        <w:rPr>
          <w:sz w:val="22"/>
        </w:rPr>
        <w:t>The Authority will also continue to pursue compliance / enforcement activities against the employer.</w:t>
      </w:r>
    </w:p>
    <w:p w14:paraId="2F6CA381" w14:textId="77777777" w:rsidR="00622D23" w:rsidRDefault="00622D23" w:rsidP="00622D23">
      <w:pPr>
        <w:pStyle w:val="Heading3"/>
      </w:pPr>
      <w:r w:rsidRPr="00622D23">
        <w:t xml:space="preserve">GN 2.14 </w:t>
      </w:r>
    </w:p>
    <w:p w14:paraId="37FD4E49" w14:textId="3A497725" w:rsidR="00622D23" w:rsidRPr="00622D23" w:rsidRDefault="00622D23" w:rsidP="00622D23">
      <w:pPr>
        <w:rPr>
          <w:sz w:val="22"/>
        </w:rPr>
      </w:pPr>
      <w:r w:rsidRPr="00622D23">
        <w:rPr>
          <w:sz w:val="22"/>
        </w:rPr>
        <w:t xml:space="preserve">In the interests of effective administration, in some cases, an eligible employer will have been provided with the opportunity to register either themselves or their </w:t>
      </w:r>
      <w:proofErr w:type="gramStart"/>
      <w:r w:rsidRPr="00622D23">
        <w:rPr>
          <w:sz w:val="22"/>
        </w:rPr>
        <w:t>workers’</w:t>
      </w:r>
      <w:proofErr w:type="gramEnd"/>
      <w:r w:rsidRPr="00622D23">
        <w:rPr>
          <w:sz w:val="22"/>
        </w:rPr>
        <w:t xml:space="preserve"> as part of the investigation process, whilst in other cases the opportunity may be provided after the investigation process has concluded.</w:t>
      </w:r>
    </w:p>
    <w:p w14:paraId="6572F23D" w14:textId="77777777" w:rsidR="00622D23" w:rsidRDefault="00622D23" w:rsidP="00622D23">
      <w:pPr>
        <w:pStyle w:val="Heading3"/>
      </w:pPr>
      <w:r w:rsidRPr="00622D23">
        <w:t xml:space="preserve">GN 2.15 </w:t>
      </w:r>
    </w:p>
    <w:p w14:paraId="767F71C3" w14:textId="1E6E7157" w:rsidR="0001466A" w:rsidRPr="0001466A" w:rsidRDefault="00622D23" w:rsidP="0001466A">
      <w:pPr>
        <w:rPr>
          <w:sz w:val="22"/>
        </w:rPr>
      </w:pPr>
      <w:r w:rsidRPr="00622D23">
        <w:rPr>
          <w:sz w:val="22"/>
        </w:rPr>
        <w:t xml:space="preserve">If the Authority is satisfied that a worker is </w:t>
      </w:r>
      <w:proofErr w:type="gramStart"/>
      <w:r w:rsidRPr="00622D23">
        <w:rPr>
          <w:sz w:val="22"/>
        </w:rPr>
        <w:t>covered</w:t>
      </w:r>
      <w:proofErr w:type="gramEnd"/>
      <w:r w:rsidRPr="00622D23">
        <w:rPr>
          <w:sz w:val="22"/>
        </w:rPr>
        <w:t xml:space="preserve"> and their eligible employer is in liquidation or administration then the Authority will also directly register the worker.</w:t>
      </w:r>
    </w:p>
    <w:p w14:paraId="25D153FC" w14:textId="668AD0F7" w:rsidR="00622D23" w:rsidRPr="00622D23" w:rsidRDefault="00622D23" w:rsidP="00622D23">
      <w:pPr>
        <w:pStyle w:val="Heading2"/>
      </w:pPr>
      <w:r w:rsidRPr="00622D23">
        <w:t>What information will be provided to the applicant worker about the progress of the application to be registered?</w:t>
      </w:r>
    </w:p>
    <w:p w14:paraId="73CBF504" w14:textId="77777777" w:rsidR="00622D23" w:rsidRDefault="00622D23" w:rsidP="00622D23">
      <w:pPr>
        <w:pStyle w:val="Heading3"/>
      </w:pPr>
      <w:r w:rsidRPr="00622D23">
        <w:t xml:space="preserve">GN 2.16 </w:t>
      </w:r>
    </w:p>
    <w:p w14:paraId="4A03ECE1" w14:textId="7782E65A" w:rsidR="00622D23" w:rsidRDefault="00622D23" w:rsidP="00622D23">
      <w:pPr>
        <w:rPr>
          <w:sz w:val="22"/>
        </w:rPr>
      </w:pPr>
      <w:r w:rsidRPr="00622D23">
        <w:rPr>
          <w:sz w:val="22"/>
        </w:rPr>
        <w:t>The worker will be provided with updates about the progress of their application. However, in many cases, the Authority may not be able to provide information as to whether it is satisfied that a worker is covered until after it has completed its investigations. The Authority will endeavour to provide information including the stage reached in the application process. The Authority will monitor progress of applications to ensure that timeframes are reasonable.</w:t>
      </w:r>
    </w:p>
    <w:p w14:paraId="03FFFA6F" w14:textId="77777777" w:rsidR="003F1F9E" w:rsidRDefault="003F1F9E">
      <w:pPr>
        <w:spacing w:before="0" w:after="160" w:line="259" w:lineRule="auto"/>
        <w:rPr>
          <w:rFonts w:ascii="Arial Rounded MT Bold" w:eastAsiaTheme="majorEastAsia" w:hAnsi="Arial Rounded MT Bold" w:cstheme="majorBidi"/>
          <w:b/>
          <w:color w:val="00575C" w:themeColor="text2"/>
          <w:sz w:val="36"/>
          <w:szCs w:val="32"/>
        </w:rPr>
      </w:pPr>
      <w:r>
        <w:br w:type="page"/>
      </w:r>
    </w:p>
    <w:p w14:paraId="1BD9F633" w14:textId="7B5B98C0" w:rsidR="003F1F9E" w:rsidRPr="003F1F9E" w:rsidRDefault="003F1F9E" w:rsidP="003F1F9E">
      <w:pPr>
        <w:pStyle w:val="Heading1"/>
      </w:pPr>
      <w:r w:rsidRPr="003F1F9E">
        <w:lastRenderedPageBreak/>
        <w:t>Appendix 1 – General overview of the Portable Long Service</w:t>
      </w:r>
      <w:r>
        <w:t xml:space="preserve"> </w:t>
      </w:r>
      <w:r w:rsidRPr="003F1F9E">
        <w:t>Benefits Scheme</w:t>
      </w:r>
    </w:p>
    <w:p w14:paraId="766EA496" w14:textId="77777777" w:rsidR="003F1F9E" w:rsidRDefault="003F1F9E" w:rsidP="003F1F9E">
      <w:pPr>
        <w:pStyle w:val="Heading2"/>
      </w:pPr>
    </w:p>
    <w:p w14:paraId="13C6BE8C" w14:textId="0E373165" w:rsidR="003F1F9E" w:rsidRPr="003F1F9E" w:rsidRDefault="003F1F9E" w:rsidP="003F1F9E">
      <w:pPr>
        <w:pStyle w:val="Heading2"/>
      </w:pPr>
      <w:r w:rsidRPr="003F1F9E">
        <w:t>What is the Portable Long Service Benefits Scheme?</w:t>
      </w:r>
    </w:p>
    <w:p w14:paraId="56D966F2" w14:textId="20884BAB" w:rsidR="003F1F9E" w:rsidRPr="003F1F9E" w:rsidRDefault="003F1F9E" w:rsidP="003F1F9E">
      <w:pPr>
        <w:rPr>
          <w:sz w:val="22"/>
        </w:rPr>
      </w:pPr>
      <w:r w:rsidRPr="003F1F9E">
        <w:rPr>
          <w:sz w:val="22"/>
        </w:rPr>
        <w:t>The Portable Long Service Benefits Scheme is established under the Long Service Benefits Portability Act 2018 (Vic) (the Act). The main purpose of the Act is to provide portability of long service benefits in certain industries</w:t>
      </w:r>
      <w:r w:rsidR="002420CC">
        <w:rPr>
          <w:rStyle w:val="FootnoteReference"/>
          <w:sz w:val="22"/>
        </w:rPr>
        <w:footnoteReference w:id="1"/>
      </w:r>
      <w:r w:rsidRPr="003F1F9E">
        <w:rPr>
          <w:sz w:val="22"/>
        </w:rPr>
        <w:t xml:space="preserve"> where, due to the contract and project nature of the work often undertaken in these industries, workers may not qualify for long service entitlements under traditional schemes. The Portable Long Service Benefits Scheme recognises that workers can work</w:t>
      </w:r>
      <w:r>
        <w:rPr>
          <w:sz w:val="22"/>
        </w:rPr>
        <w:t xml:space="preserve"> </w:t>
      </w:r>
      <w:r w:rsidRPr="003F1F9E">
        <w:rPr>
          <w:sz w:val="22"/>
        </w:rPr>
        <w:t>for multiple employers and have their service in the industry recognised and enable them to claim a long service benefit.</w:t>
      </w:r>
    </w:p>
    <w:p w14:paraId="6D4F368A" w14:textId="5443DDFE" w:rsidR="003F1F9E" w:rsidRPr="003F1F9E" w:rsidRDefault="003F1F9E" w:rsidP="003F1F9E">
      <w:pPr>
        <w:rPr>
          <w:sz w:val="22"/>
        </w:rPr>
      </w:pPr>
      <w:r w:rsidRPr="003F1F9E">
        <w:rPr>
          <w:sz w:val="22"/>
        </w:rPr>
        <w:t>The role of the Authority is to administer the Scheme established under the Act</w:t>
      </w:r>
      <w:r w:rsidR="002420CC">
        <w:rPr>
          <w:rStyle w:val="FootnoteReference"/>
          <w:sz w:val="22"/>
        </w:rPr>
        <w:footnoteReference w:id="2"/>
      </w:r>
      <w:r w:rsidRPr="003F1F9E">
        <w:rPr>
          <w:sz w:val="22"/>
        </w:rPr>
        <w:t>.</w:t>
      </w:r>
    </w:p>
    <w:p w14:paraId="12EC4A2A" w14:textId="77777777" w:rsidR="003F1F9E" w:rsidRPr="003F1F9E" w:rsidRDefault="003F1F9E" w:rsidP="003F1F9E">
      <w:pPr>
        <w:pStyle w:val="Heading2"/>
      </w:pPr>
      <w:r w:rsidRPr="003F1F9E">
        <w:t>What industries are covered by the Scheme?</w:t>
      </w:r>
    </w:p>
    <w:p w14:paraId="0DE5F4D1" w14:textId="77777777" w:rsidR="003F1F9E" w:rsidRPr="003F1F9E" w:rsidRDefault="003F1F9E" w:rsidP="003F1F9E">
      <w:pPr>
        <w:rPr>
          <w:sz w:val="22"/>
        </w:rPr>
      </w:pPr>
      <w:r w:rsidRPr="003F1F9E">
        <w:rPr>
          <w:sz w:val="22"/>
        </w:rPr>
        <w:t>There are three industries covered by the Portable Long Service Benefits Scheme:</w:t>
      </w:r>
    </w:p>
    <w:p w14:paraId="49EDBB4F" w14:textId="063F1AD4" w:rsidR="003F1F9E" w:rsidRPr="003F1F9E" w:rsidRDefault="003F1F9E" w:rsidP="003F1F9E">
      <w:pPr>
        <w:pStyle w:val="ListParagraph"/>
        <w:numPr>
          <w:ilvl w:val="0"/>
          <w:numId w:val="33"/>
        </w:numPr>
        <w:rPr>
          <w:sz w:val="22"/>
        </w:rPr>
      </w:pPr>
      <w:r w:rsidRPr="003F1F9E">
        <w:rPr>
          <w:sz w:val="22"/>
        </w:rPr>
        <w:t>the community services industry;</w:t>
      </w:r>
    </w:p>
    <w:p w14:paraId="4037A72E" w14:textId="2C048CD8" w:rsidR="003F1F9E" w:rsidRPr="003F1F9E" w:rsidRDefault="003F1F9E" w:rsidP="003F1F9E">
      <w:pPr>
        <w:pStyle w:val="ListParagraph"/>
        <w:numPr>
          <w:ilvl w:val="0"/>
          <w:numId w:val="33"/>
        </w:numPr>
        <w:rPr>
          <w:sz w:val="22"/>
        </w:rPr>
      </w:pPr>
      <w:r w:rsidRPr="003F1F9E">
        <w:rPr>
          <w:sz w:val="22"/>
        </w:rPr>
        <w:t xml:space="preserve">the contract cleaning industry; and </w:t>
      </w:r>
    </w:p>
    <w:p w14:paraId="3215759D" w14:textId="45654425" w:rsidR="003F1F9E" w:rsidRPr="003F1F9E" w:rsidRDefault="003F1F9E" w:rsidP="003F1F9E">
      <w:pPr>
        <w:pStyle w:val="ListParagraph"/>
        <w:numPr>
          <w:ilvl w:val="0"/>
          <w:numId w:val="33"/>
        </w:numPr>
        <w:rPr>
          <w:sz w:val="22"/>
        </w:rPr>
      </w:pPr>
      <w:r w:rsidRPr="003F1F9E">
        <w:rPr>
          <w:sz w:val="22"/>
        </w:rPr>
        <w:t>the security industry.</w:t>
      </w:r>
      <w:r w:rsidR="002420CC">
        <w:rPr>
          <w:rStyle w:val="FootnoteReference"/>
          <w:sz w:val="22"/>
        </w:rPr>
        <w:footnoteReference w:id="3"/>
      </w:r>
    </w:p>
    <w:p w14:paraId="7C9467F5" w14:textId="31C47DCD" w:rsidR="003F1F9E" w:rsidRPr="003F1F9E" w:rsidRDefault="003F1F9E" w:rsidP="003F1F9E">
      <w:pPr>
        <w:rPr>
          <w:sz w:val="22"/>
        </w:rPr>
      </w:pPr>
      <w:r w:rsidRPr="003F1F9E">
        <w:rPr>
          <w:sz w:val="22"/>
        </w:rPr>
        <w:t>The scope of each covered industry is defined in the Act. The Act sets out the activities and services</w:t>
      </w:r>
      <w:r>
        <w:rPr>
          <w:sz w:val="22"/>
        </w:rPr>
        <w:t xml:space="preserve"> </w:t>
      </w:r>
      <w:r w:rsidRPr="003F1F9E">
        <w:rPr>
          <w:sz w:val="22"/>
        </w:rPr>
        <w:t>that make up the work done in the covered industry for the purposes of the Scheme. The Act must be read in conjunction with the covering the Long Service Benefits Portability Regulations 2020 (Vic) (the</w:t>
      </w:r>
      <w:r>
        <w:rPr>
          <w:sz w:val="22"/>
        </w:rPr>
        <w:t xml:space="preserve"> R</w:t>
      </w:r>
      <w:r w:rsidRPr="003F1F9E">
        <w:rPr>
          <w:sz w:val="22"/>
        </w:rPr>
        <w:t>egulations).</w:t>
      </w:r>
    </w:p>
    <w:p w14:paraId="64652042" w14:textId="77777777" w:rsidR="003F1F9E" w:rsidRPr="003F1F9E" w:rsidRDefault="003F1F9E" w:rsidP="003F1F9E">
      <w:pPr>
        <w:pStyle w:val="Heading2"/>
      </w:pPr>
      <w:r w:rsidRPr="003F1F9E">
        <w:t>How does a worker become eligible?</w:t>
      </w:r>
    </w:p>
    <w:p w14:paraId="2EE4A834" w14:textId="576032C3" w:rsidR="003F1F9E" w:rsidRPr="003F1F9E" w:rsidRDefault="003F1F9E" w:rsidP="003F1F9E">
      <w:pPr>
        <w:rPr>
          <w:sz w:val="22"/>
        </w:rPr>
      </w:pPr>
      <w:r w:rsidRPr="003F1F9E">
        <w:rPr>
          <w:sz w:val="22"/>
        </w:rPr>
        <w:t>There are three prerequisites to a worker being eligible under the Portable Long Service Benefits</w:t>
      </w:r>
      <w:r w:rsidR="00B34631">
        <w:rPr>
          <w:sz w:val="22"/>
        </w:rPr>
        <w:t xml:space="preserve"> </w:t>
      </w:r>
      <w:r w:rsidRPr="003F1F9E">
        <w:rPr>
          <w:sz w:val="22"/>
        </w:rPr>
        <w:t>Scheme:</w:t>
      </w:r>
    </w:p>
    <w:p w14:paraId="15159342" w14:textId="5F21E5EB" w:rsidR="003F1F9E" w:rsidRPr="003F1F9E" w:rsidRDefault="003F1F9E" w:rsidP="003F1F9E">
      <w:pPr>
        <w:pStyle w:val="ListParagraph"/>
        <w:numPr>
          <w:ilvl w:val="0"/>
          <w:numId w:val="34"/>
        </w:numPr>
        <w:rPr>
          <w:sz w:val="22"/>
        </w:rPr>
      </w:pPr>
      <w:r w:rsidRPr="003F1F9E">
        <w:rPr>
          <w:sz w:val="22"/>
        </w:rPr>
        <w:t xml:space="preserve">the worker is a worker in a covered industry; and </w:t>
      </w:r>
    </w:p>
    <w:p w14:paraId="77BEFF93" w14:textId="1D8DEE2A" w:rsidR="003F1F9E" w:rsidRPr="003F1F9E" w:rsidRDefault="003F1F9E" w:rsidP="003F1F9E">
      <w:pPr>
        <w:pStyle w:val="ListParagraph"/>
        <w:numPr>
          <w:ilvl w:val="0"/>
          <w:numId w:val="34"/>
        </w:numPr>
        <w:rPr>
          <w:sz w:val="22"/>
        </w:rPr>
      </w:pPr>
      <w:r w:rsidRPr="003F1F9E">
        <w:rPr>
          <w:sz w:val="22"/>
        </w:rPr>
        <w:t xml:space="preserve">the worker performs work for a registered employer for the covered industry; and </w:t>
      </w:r>
    </w:p>
    <w:p w14:paraId="755F97DF" w14:textId="5B74A9AA" w:rsidR="003F1F9E" w:rsidRDefault="003F1F9E" w:rsidP="003F1F9E">
      <w:pPr>
        <w:pStyle w:val="ListParagraph"/>
        <w:numPr>
          <w:ilvl w:val="0"/>
          <w:numId w:val="34"/>
        </w:numPr>
        <w:rPr>
          <w:sz w:val="22"/>
        </w:rPr>
      </w:pPr>
      <w:r w:rsidRPr="003F1F9E">
        <w:rPr>
          <w:sz w:val="22"/>
        </w:rPr>
        <w:t>the worker is a registered active worker for the covered industry.</w:t>
      </w:r>
      <w:r w:rsidR="002420CC">
        <w:rPr>
          <w:rStyle w:val="FootnoteReference"/>
          <w:sz w:val="22"/>
        </w:rPr>
        <w:footnoteReference w:id="4"/>
      </w:r>
    </w:p>
    <w:p w14:paraId="3F90ADBD" w14:textId="49CA1831" w:rsidR="003F1F9E" w:rsidRPr="003F1F9E" w:rsidRDefault="003F1F9E" w:rsidP="0001466A">
      <w:pPr>
        <w:pStyle w:val="Heading2"/>
      </w:pPr>
      <w:r w:rsidRPr="003F1F9E">
        <w:t>Who is required to apply for registration?</w:t>
      </w:r>
    </w:p>
    <w:p w14:paraId="6BB4F489" w14:textId="42ACBF7C" w:rsidR="003F1F9E" w:rsidRPr="003F1F9E" w:rsidRDefault="003F1F9E" w:rsidP="003F1F9E">
      <w:pPr>
        <w:rPr>
          <w:sz w:val="22"/>
        </w:rPr>
      </w:pPr>
      <w:r w:rsidRPr="003F1F9E">
        <w:rPr>
          <w:sz w:val="22"/>
        </w:rPr>
        <w:t>For eligible workers in the covered industry to access the Scheme, employers for a covered industry must apply for registration.</w:t>
      </w:r>
      <w:r w:rsidR="002420CC">
        <w:rPr>
          <w:rStyle w:val="FootnoteReference"/>
          <w:sz w:val="22"/>
        </w:rPr>
        <w:footnoteReference w:id="5"/>
      </w:r>
      <w:r w:rsidRPr="003F1F9E">
        <w:rPr>
          <w:sz w:val="22"/>
        </w:rPr>
        <w:t xml:space="preserve"> Application for registration is done via the PLSA website and information about the application process is also on the website.</w:t>
      </w:r>
    </w:p>
    <w:p w14:paraId="20942A0E" w14:textId="49B8C1C9" w:rsidR="003F1F9E" w:rsidRPr="003F1F9E" w:rsidRDefault="003F1F9E" w:rsidP="003F1F9E">
      <w:pPr>
        <w:rPr>
          <w:sz w:val="22"/>
        </w:rPr>
      </w:pPr>
      <w:r w:rsidRPr="003F1F9E">
        <w:rPr>
          <w:sz w:val="22"/>
        </w:rPr>
        <w:t>When a registered employer for a covered industry lodges the quarterly return, the employer must tell the Authority how many workers are in the organisation and how many hours of work they have done during the quarter.</w:t>
      </w:r>
    </w:p>
    <w:p w14:paraId="70C5291A" w14:textId="3A9B6804" w:rsidR="003F1F9E" w:rsidRPr="003F1F9E" w:rsidRDefault="003F1F9E" w:rsidP="003F1F9E">
      <w:pPr>
        <w:rPr>
          <w:sz w:val="22"/>
        </w:rPr>
      </w:pPr>
      <w:r w:rsidRPr="003F1F9E">
        <w:rPr>
          <w:sz w:val="22"/>
        </w:rPr>
        <w:t>The quarterly return process and the information that is required is explained further on the</w:t>
      </w:r>
      <w:r>
        <w:rPr>
          <w:sz w:val="22"/>
        </w:rPr>
        <w:t xml:space="preserve"> Authority’s</w:t>
      </w:r>
      <w:r w:rsidRPr="003F1F9E">
        <w:rPr>
          <w:sz w:val="22"/>
        </w:rPr>
        <w:t xml:space="preserve"> website.</w:t>
      </w:r>
    </w:p>
    <w:p w14:paraId="56C6AFF9" w14:textId="77777777" w:rsidR="003F1F9E" w:rsidRPr="003F1F9E" w:rsidRDefault="003F1F9E" w:rsidP="003F1F9E">
      <w:pPr>
        <w:pStyle w:val="Heading2"/>
      </w:pPr>
      <w:r w:rsidRPr="003F1F9E">
        <w:lastRenderedPageBreak/>
        <w:t>Obligation to register employees</w:t>
      </w:r>
    </w:p>
    <w:p w14:paraId="1F59C218" w14:textId="77777777" w:rsidR="003F1F9E" w:rsidRPr="003F1F9E" w:rsidRDefault="003F1F9E" w:rsidP="003F1F9E">
      <w:pPr>
        <w:pStyle w:val="Heading3"/>
      </w:pPr>
      <w:r w:rsidRPr="003F1F9E">
        <w:t>Employers</w:t>
      </w:r>
    </w:p>
    <w:p w14:paraId="7D59C28B" w14:textId="17025642" w:rsidR="003F1F9E" w:rsidRPr="003F1F9E" w:rsidRDefault="003F1F9E" w:rsidP="003F1F9E">
      <w:pPr>
        <w:rPr>
          <w:sz w:val="22"/>
        </w:rPr>
      </w:pPr>
      <w:r w:rsidRPr="003F1F9E">
        <w:rPr>
          <w:sz w:val="22"/>
        </w:rPr>
        <w:t>If an employer covered by the Scheme has employees who should be registered, they must be</w:t>
      </w:r>
      <w:r>
        <w:rPr>
          <w:sz w:val="22"/>
        </w:rPr>
        <w:t xml:space="preserve"> </w:t>
      </w:r>
      <w:r w:rsidRPr="003F1F9E">
        <w:rPr>
          <w:sz w:val="22"/>
        </w:rPr>
        <w:t>registered within the required period. The required period is:</w:t>
      </w:r>
    </w:p>
    <w:p w14:paraId="53132E7F" w14:textId="4D693610" w:rsidR="003F1F9E" w:rsidRPr="003F1F9E" w:rsidRDefault="003F1F9E" w:rsidP="003F1F9E">
      <w:pPr>
        <w:pStyle w:val="ListParagraph"/>
        <w:numPr>
          <w:ilvl w:val="0"/>
          <w:numId w:val="35"/>
        </w:numPr>
        <w:rPr>
          <w:sz w:val="22"/>
        </w:rPr>
      </w:pPr>
      <w:r w:rsidRPr="003F1F9E">
        <w:rPr>
          <w:sz w:val="22"/>
        </w:rPr>
        <w:t xml:space="preserve">Three months after the worker is employed by a registered employer to the Scheme. An employer must apply for registration of an employee when they submit their next quarterly return. For information on submitting quarterly returns please contact the Authority by emailing </w:t>
      </w:r>
      <w:hyperlink r:id="rId13" w:history="1">
        <w:r w:rsidR="004F647D" w:rsidRPr="00C524FD">
          <w:rPr>
            <w:rStyle w:val="Hyperlink"/>
            <w:rFonts w:asciiTheme="minorHAnsi" w:hAnsiTheme="minorHAnsi"/>
            <w:sz w:val="22"/>
          </w:rPr>
          <w:t>enquiries@plsa.vic.gov.au</w:t>
        </w:r>
      </w:hyperlink>
      <w:r w:rsidR="004F647D">
        <w:rPr>
          <w:sz w:val="22"/>
        </w:rPr>
        <w:t xml:space="preserve"> </w:t>
      </w:r>
      <w:r w:rsidRPr="003F1F9E">
        <w:rPr>
          <w:sz w:val="22"/>
        </w:rPr>
        <w:t xml:space="preserve">or calling 1800 517 158. </w:t>
      </w:r>
    </w:p>
    <w:p w14:paraId="12E33406" w14:textId="77777777" w:rsidR="0001466A" w:rsidRDefault="0001466A" w:rsidP="003F1F9E">
      <w:pPr>
        <w:pStyle w:val="Heading2"/>
      </w:pPr>
    </w:p>
    <w:p w14:paraId="21EBAD7B" w14:textId="4ED66B67" w:rsidR="003F1F9E" w:rsidRPr="003F1F9E" w:rsidRDefault="003F1F9E" w:rsidP="003F1F9E">
      <w:pPr>
        <w:pStyle w:val="Heading2"/>
      </w:pPr>
      <w:r w:rsidRPr="003F1F9E">
        <w:t xml:space="preserve">Workers </w:t>
      </w:r>
    </w:p>
    <w:p w14:paraId="4D7928C8" w14:textId="7C1D2B30" w:rsidR="003F1F9E" w:rsidRPr="003F1F9E" w:rsidRDefault="003F1F9E" w:rsidP="003F1F9E">
      <w:pPr>
        <w:rPr>
          <w:sz w:val="22"/>
        </w:rPr>
      </w:pPr>
      <w:r w:rsidRPr="003F1F9E">
        <w:rPr>
          <w:sz w:val="22"/>
        </w:rPr>
        <w:t xml:space="preserve">If you believe you meet the criteria for a worker for the </w:t>
      </w:r>
      <w:proofErr w:type="gramStart"/>
      <w:r w:rsidRPr="003F1F9E">
        <w:rPr>
          <w:sz w:val="22"/>
        </w:rPr>
        <w:t>Scheme</w:t>
      </w:r>
      <w:proofErr w:type="gramEnd"/>
      <w:r w:rsidRPr="003F1F9E">
        <w:rPr>
          <w:sz w:val="22"/>
        </w:rPr>
        <w:t xml:space="preserve"> but you are not yet registered please</w:t>
      </w:r>
      <w:r>
        <w:rPr>
          <w:sz w:val="22"/>
        </w:rPr>
        <w:t xml:space="preserve"> </w:t>
      </w:r>
      <w:r w:rsidRPr="003F1F9E">
        <w:rPr>
          <w:sz w:val="22"/>
        </w:rPr>
        <w:t xml:space="preserve">contact the Authority by emailing </w:t>
      </w:r>
      <w:hyperlink r:id="rId14" w:history="1">
        <w:r w:rsidR="004F647D" w:rsidRPr="00C524FD">
          <w:rPr>
            <w:rStyle w:val="Hyperlink"/>
            <w:rFonts w:asciiTheme="minorHAnsi" w:hAnsiTheme="minorHAnsi"/>
            <w:sz w:val="22"/>
          </w:rPr>
          <w:t>enquiries@plsa.vic.gov.au</w:t>
        </w:r>
      </w:hyperlink>
      <w:r w:rsidR="004F647D">
        <w:rPr>
          <w:sz w:val="22"/>
        </w:rPr>
        <w:t xml:space="preserve"> </w:t>
      </w:r>
      <w:r w:rsidRPr="003F1F9E">
        <w:rPr>
          <w:sz w:val="22"/>
        </w:rPr>
        <w:t xml:space="preserve">or calling 1800 517 158. </w:t>
      </w:r>
    </w:p>
    <w:p w14:paraId="5354D387" w14:textId="77777777" w:rsidR="0001466A" w:rsidRDefault="0001466A" w:rsidP="003F1F9E">
      <w:pPr>
        <w:pStyle w:val="Heading2"/>
      </w:pPr>
    </w:p>
    <w:p w14:paraId="76626AB3" w14:textId="314F8958" w:rsidR="003F1F9E" w:rsidRPr="003F1F9E" w:rsidRDefault="003F1F9E" w:rsidP="003F1F9E">
      <w:pPr>
        <w:pStyle w:val="Heading2"/>
      </w:pPr>
      <w:r w:rsidRPr="003F1F9E">
        <w:t xml:space="preserve">Questions? </w:t>
      </w:r>
    </w:p>
    <w:p w14:paraId="76D15A72" w14:textId="2BA8CE6B" w:rsidR="003F1F9E" w:rsidRDefault="003F1F9E" w:rsidP="003F1F9E">
      <w:pPr>
        <w:rPr>
          <w:sz w:val="22"/>
        </w:rPr>
      </w:pPr>
      <w:r w:rsidRPr="003F1F9E">
        <w:rPr>
          <w:sz w:val="22"/>
        </w:rPr>
        <w:t>If you have questions about this fact sheet, please contact the Authority by emailing</w:t>
      </w:r>
      <w:r>
        <w:rPr>
          <w:sz w:val="22"/>
        </w:rPr>
        <w:t xml:space="preserve"> </w:t>
      </w:r>
      <w:hyperlink r:id="rId15" w:history="1">
        <w:r w:rsidR="004F647D" w:rsidRPr="00B34631">
          <w:rPr>
            <w:rStyle w:val="Hyperlink"/>
            <w:rFonts w:asciiTheme="minorHAnsi" w:hAnsiTheme="minorHAnsi"/>
            <w:b/>
            <w:bCs/>
            <w:sz w:val="22"/>
          </w:rPr>
          <w:t>enquiries@plsa.vic.gov.au</w:t>
        </w:r>
      </w:hyperlink>
      <w:r w:rsidR="004F647D">
        <w:rPr>
          <w:sz w:val="22"/>
        </w:rPr>
        <w:t xml:space="preserve"> </w:t>
      </w:r>
      <w:r w:rsidRPr="003F1F9E">
        <w:rPr>
          <w:sz w:val="22"/>
        </w:rPr>
        <w:t xml:space="preserve">or calling </w:t>
      </w:r>
      <w:r w:rsidRPr="00B34631">
        <w:rPr>
          <w:b/>
          <w:bCs/>
          <w:sz w:val="22"/>
        </w:rPr>
        <w:t>1800 517 158</w:t>
      </w:r>
      <w:r w:rsidRPr="003F1F9E">
        <w:rPr>
          <w:sz w:val="22"/>
        </w:rPr>
        <w:t>. Alternatively, please obtain your own</w:t>
      </w:r>
      <w:r>
        <w:rPr>
          <w:sz w:val="22"/>
        </w:rPr>
        <w:t xml:space="preserve"> </w:t>
      </w:r>
      <w:r w:rsidRPr="003F1F9E">
        <w:rPr>
          <w:sz w:val="22"/>
        </w:rPr>
        <w:t>independent legal advice.</w:t>
      </w:r>
    </w:p>
    <w:p w14:paraId="47C4338D" w14:textId="536E1DEB" w:rsidR="003F1F9E" w:rsidRDefault="003F1F9E" w:rsidP="003F1F9E">
      <w:pPr>
        <w:rPr>
          <w:sz w:val="22"/>
        </w:rPr>
      </w:pPr>
      <w:r w:rsidRPr="003F1F9E">
        <w:rPr>
          <w:sz w:val="22"/>
        </w:rPr>
        <w:t>For more information visit plsa.vic.gov.au</w:t>
      </w:r>
      <w:r>
        <w:rPr>
          <w:sz w:val="22"/>
        </w:rPr>
        <w:t xml:space="preserve"> </w:t>
      </w:r>
      <w:r w:rsidRPr="003F1F9E">
        <w:rPr>
          <w:sz w:val="22"/>
        </w:rPr>
        <w:t>and to stay up to date subscribe for our email</w:t>
      </w:r>
      <w:r>
        <w:rPr>
          <w:sz w:val="22"/>
        </w:rPr>
        <w:t xml:space="preserve"> </w:t>
      </w:r>
      <w:r w:rsidRPr="003F1F9E">
        <w:rPr>
          <w:sz w:val="22"/>
        </w:rPr>
        <w:t>newsletter.</w:t>
      </w:r>
    </w:p>
    <w:sectPr w:rsidR="003F1F9E" w:rsidSect="004F647D">
      <w:headerReference w:type="default" r:id="rId16"/>
      <w:footerReference w:type="even" r:id="rId17"/>
      <w:footerReference w:type="default" r:id="rId18"/>
      <w:headerReference w:type="first" r:id="rId19"/>
      <w:footerReference w:type="first" r:id="rId20"/>
      <w:pgSz w:w="11906" w:h="16838" w:code="9"/>
      <w:pgMar w:top="1456" w:right="851" w:bottom="851" w:left="85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6392A" w14:textId="77777777" w:rsidR="000B51AA" w:rsidRDefault="000B51AA" w:rsidP="00C37A29">
      <w:pPr>
        <w:spacing w:after="0"/>
      </w:pPr>
      <w:r>
        <w:separator/>
      </w:r>
    </w:p>
  </w:endnote>
  <w:endnote w:type="continuationSeparator" w:id="0">
    <w:p w14:paraId="2379EF6F" w14:textId="77777777" w:rsidR="000B51AA" w:rsidRDefault="000B51AA"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E12C" w14:textId="2E502376" w:rsidR="00F76471" w:rsidRDefault="00F76471">
    <w:pPr>
      <w:pStyle w:val="Footer"/>
    </w:pPr>
    <w:r>
      <w:rPr>
        <w:noProof/>
      </w:rPr>
      <mc:AlternateContent>
        <mc:Choice Requires="wps">
          <w:drawing>
            <wp:anchor distT="0" distB="0" distL="0" distR="0" simplePos="0" relativeHeight="251687936" behindDoc="0" locked="0" layoutInCell="1" allowOverlap="1" wp14:anchorId="536D33A4" wp14:editId="0C956683">
              <wp:simplePos x="635" y="635"/>
              <wp:positionH relativeFrom="page">
                <wp:align>left</wp:align>
              </wp:positionH>
              <wp:positionV relativeFrom="page">
                <wp:align>bottom</wp:align>
              </wp:positionV>
              <wp:extent cx="759460" cy="428625"/>
              <wp:effectExtent l="0" t="0" r="2540" b="0"/>
              <wp:wrapNone/>
              <wp:docPr id="6529555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28625"/>
                      </a:xfrm>
                      <a:prstGeom prst="rect">
                        <a:avLst/>
                      </a:prstGeom>
                      <a:noFill/>
                      <a:ln>
                        <a:noFill/>
                      </a:ln>
                    </wps:spPr>
                    <wps:txbx>
                      <w:txbxContent>
                        <w:p w14:paraId="35669A97" w14:textId="3C45717E" w:rsidR="00F76471" w:rsidRPr="00F76471" w:rsidRDefault="00F76471" w:rsidP="00F76471">
                          <w:pPr>
                            <w:spacing w:after="0"/>
                            <w:rPr>
                              <w:rFonts w:ascii="Calibri" w:eastAsia="Calibri" w:hAnsi="Calibri" w:cs="Calibri"/>
                              <w:noProof/>
                              <w:color w:val="000000"/>
                              <w:sz w:val="22"/>
                            </w:rPr>
                          </w:pPr>
                          <w:r w:rsidRPr="00F76471">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6D33A4" id="_x0000_t202" coordsize="21600,21600" o:spt="202" path="m,l,21600r21600,l21600,xe">
              <v:stroke joinstyle="miter"/>
              <v:path gradientshapeok="t" o:connecttype="rect"/>
            </v:shapetype>
            <v:shape id="Text Box 2" o:spid="_x0000_s1026" type="#_x0000_t202" alt="OFFICIAL" style="position:absolute;margin-left:0;margin-top:0;width:59.8pt;height:33.75pt;z-index:2516879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" filled="f" stroked="f">
              <v:textbox style="mso-fit-shape-to-text:t" inset="20pt,0,0,15pt">
                <w:txbxContent>
                  <w:p w14:paraId="35669A97" w14:textId="3C45717E" w:rsidR="00F76471" w:rsidRPr="00F76471" w:rsidRDefault="00F76471" w:rsidP="00F76471">
                    <w:pPr>
                      <w:spacing w:after="0"/>
                      <w:rPr>
                        <w:rFonts w:ascii="Calibri" w:eastAsia="Calibri" w:hAnsi="Calibri" w:cs="Calibri"/>
                        <w:noProof/>
                        <w:color w:val="000000"/>
                        <w:sz w:val="22"/>
                      </w:rPr>
                    </w:pPr>
                    <w:r w:rsidRPr="00F76471">
                      <w:rPr>
                        <w:rFonts w:ascii="Calibri" w:eastAsia="Calibri" w:hAnsi="Calibri" w:cs="Calibri"/>
                        <w:noProof/>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EAA7" w14:textId="77777777" w:rsidR="002870AB" w:rsidRDefault="002870AB" w:rsidP="002870AB">
    <w:pPr>
      <w:pStyle w:val="Footer"/>
    </w:pPr>
    <w:r w:rsidRPr="00CD584D">
      <w:rPr>
        <w:bCs/>
      </w:rPr>
      <w:t>Portable Long Service Authority – Guidance Note 2.</w:t>
    </w:r>
    <w:r w:rsidRPr="00CD584D">
      <w:rPr>
        <w:noProof/>
      </w:rPr>
      <mc:AlternateContent>
        <mc:Choice Requires="wps">
          <w:drawing>
            <wp:anchor distT="0" distB="0" distL="0" distR="0" simplePos="0" relativeHeight="251697152" behindDoc="0" locked="0" layoutInCell="1" allowOverlap="1" wp14:anchorId="18D865B3" wp14:editId="40C24417">
              <wp:simplePos x="0" y="0"/>
              <wp:positionH relativeFrom="page">
                <wp:align>left</wp:align>
              </wp:positionH>
              <wp:positionV relativeFrom="page">
                <wp:align>bottom</wp:align>
              </wp:positionV>
              <wp:extent cx="758825" cy="439420"/>
              <wp:effectExtent l="0" t="0" r="2540" b="0"/>
              <wp:wrapNone/>
              <wp:docPr id="15974993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28625"/>
                      </a:xfrm>
                      <a:prstGeom prst="rect">
                        <a:avLst/>
                      </a:prstGeom>
                      <a:noFill/>
                      <a:ln>
                        <a:noFill/>
                      </a:ln>
                    </wps:spPr>
                    <wps:txbx>
                      <w:txbxContent>
                        <w:p w14:paraId="59F7608D" w14:textId="77777777" w:rsidR="002870AB" w:rsidRDefault="002870AB" w:rsidP="002870AB">
                          <w:pPr>
                            <w:spacing w:after="0"/>
                            <w:rPr>
                              <w:rFonts w:ascii="Calibri" w:eastAsia="Calibri" w:hAnsi="Calibri" w:cs="Calibri"/>
                              <w:noProof/>
                              <w:color w:val="000000"/>
                              <w:sz w:val="22"/>
                            </w:rPr>
                          </w:pPr>
                          <w:r>
                            <w:rPr>
                              <w:rFonts w:ascii="Calibri" w:eastAsia="Calibri" w:hAnsi="Calibri" w:cs="Calibri"/>
                              <w:noProof/>
                              <w:color w:val="000000"/>
                              <w:sz w:val="22"/>
                            </w:rPr>
                            <w:t>OFFICIAL</w:t>
                          </w:r>
                        </w:p>
                      </w:txbxContent>
                    </wps:txbx>
                    <wps:bodyPr rot="0" spcFirstLastPara="0" vertOverflow="clip" horzOverflow="clip"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8D865B3" id="_x0000_t202" coordsize="21600,21600" o:spt="202" path="m,l,21600r21600,l21600,xe">
              <v:stroke joinstyle="miter"/>
              <v:path gradientshapeok="t" o:connecttype="rect"/>
            </v:shapetype>
            <v:shape id="Text Box 4" o:spid="_x0000_s1027" type="#_x0000_t202" alt="OFFICIAL" style="position:absolute;margin-left:0;margin-top:0;width:59.75pt;height:34.6pt;z-index:25169715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" filled="f" stroked="f">
              <v:textbox style="mso-fit-shape-to-text:t" inset="20pt,0,0,15pt">
                <w:txbxContent>
                  <w:p w14:paraId="59F7608D" w14:textId="77777777" w:rsidR="002870AB" w:rsidRDefault="002870AB" w:rsidP="002870AB">
                    <w:pPr>
                      <w:spacing w:after="0"/>
                      <w:rPr>
                        <w:rFonts w:ascii="Calibri" w:eastAsia="Calibri" w:hAnsi="Calibri" w:cs="Calibri"/>
                        <w:noProof/>
                        <w:color w:val="000000"/>
                        <w:sz w:val="22"/>
                      </w:rPr>
                    </w:pPr>
                    <w:r>
                      <w:rPr>
                        <w:rFonts w:ascii="Calibri" w:eastAsia="Calibri" w:hAnsi="Calibri" w:cs="Calibri"/>
                        <w:noProof/>
                        <w:color w:val="000000"/>
                        <w:sz w:val="22"/>
                      </w:rPr>
                      <w:t>OFFICIAL</w:t>
                    </w:r>
                  </w:p>
                </w:txbxContent>
              </v:textbox>
              <w10:wrap anchorx="page" anchory="page"/>
            </v:shape>
          </w:pict>
        </mc:Fallback>
      </mc:AlternateContent>
    </w:r>
    <w:r w:rsidRPr="00CD584D">
      <w:rPr>
        <w:bCs/>
      </w:rPr>
      <w:t xml:space="preserve"> Published 16 December 2024</w:t>
    </w:r>
  </w:p>
  <w:p w14:paraId="729FB58E" w14:textId="7E0F5465" w:rsidR="002870AB" w:rsidRDefault="00000000" w:rsidP="002870AB">
    <w:pPr>
      <w:pStyle w:val="Footer"/>
      <w:jc w:val="right"/>
    </w:pPr>
    <w:sdt>
      <w:sdtPr>
        <w:id w:val="-1358342108"/>
        <w:docPartObj>
          <w:docPartGallery w:val="Page Numbers (Bottom of Page)"/>
          <w:docPartUnique/>
        </w:docPartObj>
      </w:sdtPr>
      <w:sdtEndPr>
        <w:rPr>
          <w:noProof/>
        </w:rPr>
      </w:sdtEndPr>
      <w:sdtContent>
        <w:r w:rsidR="002247DE">
          <w:fldChar w:fldCharType="begin"/>
        </w:r>
        <w:r w:rsidR="002247DE">
          <w:instrText xml:space="preserve"> PAGE   \* MERGEFORMAT </w:instrText>
        </w:r>
        <w:r w:rsidR="002247DE">
          <w:fldChar w:fldCharType="separate"/>
        </w:r>
        <w:r w:rsidR="002247DE">
          <w:rPr>
            <w:noProof/>
          </w:rPr>
          <w:t>2</w:t>
        </w:r>
        <w:r w:rsidR="002247DE">
          <w:rPr>
            <w:noProof/>
          </w:rPr>
          <w:fldChar w:fldCharType="end"/>
        </w:r>
      </w:sdtContent>
    </w:sdt>
    <w:r w:rsidR="002870AB" w:rsidRPr="00CD584D">
      <w:rPr>
        <w:noProof/>
      </w:rPr>
      <mc:AlternateContent>
        <mc:Choice Requires="wps">
          <w:drawing>
            <wp:anchor distT="0" distB="0" distL="0" distR="0" simplePos="0" relativeHeight="251695104" behindDoc="0" locked="0" layoutInCell="1" allowOverlap="1" wp14:anchorId="00EF968B" wp14:editId="026F0BF8">
              <wp:simplePos x="0" y="0"/>
              <wp:positionH relativeFrom="page">
                <wp:align>left</wp:align>
              </wp:positionH>
              <wp:positionV relativeFrom="page">
                <wp:align>bottom</wp:align>
              </wp:positionV>
              <wp:extent cx="758825" cy="439420"/>
              <wp:effectExtent l="0" t="0" r="2540" b="0"/>
              <wp:wrapNone/>
              <wp:docPr id="18741965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28625"/>
                      </a:xfrm>
                      <a:prstGeom prst="rect">
                        <a:avLst/>
                      </a:prstGeom>
                      <a:noFill/>
                      <a:ln>
                        <a:noFill/>
                      </a:ln>
                    </wps:spPr>
                    <wps:txbx>
                      <w:txbxContent>
                        <w:p w14:paraId="08C7C365" w14:textId="77777777" w:rsidR="002870AB" w:rsidRDefault="002870AB" w:rsidP="002870AB">
                          <w:pPr>
                            <w:spacing w:after="0"/>
                            <w:rPr>
                              <w:rFonts w:ascii="Calibri" w:eastAsia="Calibri" w:hAnsi="Calibri" w:cs="Calibri"/>
                              <w:noProof/>
                              <w:color w:val="000000"/>
                              <w:sz w:val="22"/>
                            </w:rPr>
                          </w:pPr>
                          <w:r>
                            <w:rPr>
                              <w:rFonts w:ascii="Calibri" w:eastAsia="Calibri" w:hAnsi="Calibri" w:cs="Calibri"/>
                              <w:noProof/>
                              <w:color w:val="000000"/>
                              <w:sz w:val="22"/>
                            </w:rPr>
                            <w:t>OFFICIAL</w:t>
                          </w:r>
                        </w:p>
                      </w:txbxContent>
                    </wps:txbx>
                    <wps:bodyPr rot="0" spcFirstLastPara="0" vertOverflow="clip" horzOverflow="clip"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0EF968B" id="_x0000_s1028" type="#_x0000_t202" alt="OFFICIAL" style="position:absolute;left:0;text-align:left;margin-left:0;margin-top:0;width:59.75pt;height:34.6pt;z-index:25169510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" filled="f" stroked="f">
              <v:textbox style="mso-fit-shape-to-text:t" inset="20pt,0,0,15pt">
                <w:txbxContent>
                  <w:p w14:paraId="08C7C365" w14:textId="77777777" w:rsidR="002870AB" w:rsidRDefault="002870AB" w:rsidP="002870AB">
                    <w:pPr>
                      <w:spacing w:after="0"/>
                      <w:rPr>
                        <w:rFonts w:ascii="Calibri" w:eastAsia="Calibri" w:hAnsi="Calibri" w:cs="Calibri"/>
                        <w:noProof/>
                        <w:color w:val="000000"/>
                        <w:sz w:val="22"/>
                      </w:rPr>
                    </w:pPr>
                    <w:r>
                      <w:rPr>
                        <w:rFonts w:ascii="Calibri" w:eastAsia="Calibri" w:hAnsi="Calibri" w:cs="Calibri"/>
                        <w:noProof/>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A80AD" w14:textId="77777777" w:rsidR="002247DE" w:rsidRDefault="002247DE" w:rsidP="002247DE">
    <w:pPr>
      <w:pStyle w:val="Footer"/>
    </w:pPr>
    <w:r w:rsidRPr="00CD584D">
      <w:rPr>
        <w:bCs/>
      </w:rPr>
      <w:t>Portable Long Service Authority – Guidance Note 2.</w:t>
    </w:r>
    <w:r w:rsidRPr="00CD584D">
      <w:rPr>
        <w:noProof/>
      </w:rPr>
      <mc:AlternateContent>
        <mc:Choice Requires="wps">
          <w:drawing>
            <wp:anchor distT="0" distB="0" distL="0" distR="0" simplePos="0" relativeHeight="251693056" behindDoc="0" locked="0" layoutInCell="1" allowOverlap="1" wp14:anchorId="7827F29A" wp14:editId="2F92EF03">
              <wp:simplePos x="0" y="0"/>
              <wp:positionH relativeFrom="page">
                <wp:align>left</wp:align>
              </wp:positionH>
              <wp:positionV relativeFrom="page">
                <wp:align>bottom</wp:align>
              </wp:positionV>
              <wp:extent cx="758825" cy="439420"/>
              <wp:effectExtent l="0" t="0" r="2540" b="0"/>
              <wp:wrapNone/>
              <wp:docPr id="2700927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28625"/>
                      </a:xfrm>
                      <a:prstGeom prst="rect">
                        <a:avLst/>
                      </a:prstGeom>
                      <a:noFill/>
                      <a:ln>
                        <a:noFill/>
                      </a:ln>
                    </wps:spPr>
                    <wps:txbx>
                      <w:txbxContent>
                        <w:p w14:paraId="1A1C836C" w14:textId="77777777" w:rsidR="002247DE" w:rsidRDefault="002247DE" w:rsidP="002247DE">
                          <w:pPr>
                            <w:spacing w:after="0"/>
                            <w:rPr>
                              <w:rFonts w:ascii="Calibri" w:eastAsia="Calibri" w:hAnsi="Calibri" w:cs="Calibri"/>
                              <w:noProof/>
                              <w:color w:val="000000"/>
                              <w:sz w:val="22"/>
                            </w:rPr>
                          </w:pPr>
                          <w:r>
                            <w:rPr>
                              <w:rFonts w:ascii="Calibri" w:eastAsia="Calibri" w:hAnsi="Calibri" w:cs="Calibri"/>
                              <w:noProof/>
                              <w:color w:val="000000"/>
                              <w:sz w:val="22"/>
                            </w:rPr>
                            <w:t>OFFICIAL</w:t>
                          </w:r>
                        </w:p>
                      </w:txbxContent>
                    </wps:txbx>
                    <wps:bodyPr rot="0" spcFirstLastPara="0" vertOverflow="clip" horzOverflow="clip"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827F29A" id="_x0000_t202" coordsize="21600,21600" o:spt="202" path="m,l,21600r21600,l21600,xe">
              <v:stroke joinstyle="miter"/>
              <v:path gradientshapeok="t" o:connecttype="rect"/>
            </v:shapetype>
            <v:shape id="_x0000_s1033" type="#_x0000_t202" alt="OFFICIAL" style="position:absolute;margin-left:0;margin-top:0;width:59.75pt;height:34.6pt;z-index:251693056;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" filled="f" stroked="f">
              <v:textbox style="mso-fit-shape-to-text:t" inset="20pt,0,0,15pt">
                <w:txbxContent>
                  <w:p w14:paraId="1A1C836C" w14:textId="77777777" w:rsidR="002247DE" w:rsidRDefault="002247DE" w:rsidP="002247DE">
                    <w:pPr>
                      <w:spacing w:after="0"/>
                      <w:rPr>
                        <w:rFonts w:ascii="Calibri" w:eastAsia="Calibri" w:hAnsi="Calibri" w:cs="Calibri"/>
                        <w:noProof/>
                        <w:color w:val="000000"/>
                        <w:sz w:val="22"/>
                      </w:rPr>
                    </w:pPr>
                    <w:r>
                      <w:rPr>
                        <w:rFonts w:ascii="Calibri" w:eastAsia="Calibri" w:hAnsi="Calibri" w:cs="Calibri"/>
                        <w:noProof/>
                        <w:color w:val="000000"/>
                        <w:sz w:val="22"/>
                      </w:rPr>
                      <w:t>OFFICIAL</w:t>
                    </w:r>
                  </w:p>
                </w:txbxContent>
              </v:textbox>
              <w10:wrap anchorx="page" anchory="page"/>
            </v:shape>
          </w:pict>
        </mc:Fallback>
      </mc:AlternateContent>
    </w:r>
    <w:r w:rsidRPr="00CD584D">
      <w:rPr>
        <w:bCs/>
      </w:rPr>
      <w:t xml:space="preserve"> Published 16 December 2024</w:t>
    </w:r>
  </w:p>
  <w:sdt>
    <w:sdtPr>
      <w:id w:val="995074376"/>
      <w:docPartObj>
        <w:docPartGallery w:val="Page Numbers (Bottom of Page)"/>
        <w:docPartUnique/>
      </w:docPartObj>
    </w:sdtPr>
    <w:sdtEndPr>
      <w:rPr>
        <w:noProof/>
      </w:rPr>
    </w:sdtEndPr>
    <w:sdtContent>
      <w:p w14:paraId="3AAD75A3" w14:textId="2256DAF6" w:rsidR="00815A4D" w:rsidRPr="00E760AE" w:rsidRDefault="00815A4D" w:rsidP="002247DE">
        <w:pPr>
          <w:pStyle w:val="Footer"/>
          <w:jc w:val="right"/>
          <w:rPr>
            <w:rStyle w:val="Heading5Char"/>
            <w:rFonts w:eastAsiaTheme="minorHAnsi" w:cstheme="minorBidi"/>
            <w:bCs w:val="0"/>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BB1BE" w14:textId="77777777" w:rsidR="000B51AA" w:rsidRDefault="000B51AA" w:rsidP="00C37A29">
      <w:pPr>
        <w:spacing w:after="0"/>
      </w:pPr>
      <w:r>
        <w:separator/>
      </w:r>
    </w:p>
  </w:footnote>
  <w:footnote w:type="continuationSeparator" w:id="0">
    <w:p w14:paraId="3C5AA362" w14:textId="77777777" w:rsidR="000B51AA" w:rsidRDefault="000B51AA" w:rsidP="00C37A29">
      <w:pPr>
        <w:spacing w:after="0"/>
      </w:pPr>
      <w:r>
        <w:continuationSeparator/>
      </w:r>
    </w:p>
  </w:footnote>
  <w:footnote w:id="1">
    <w:p w14:paraId="5953D3D9" w14:textId="58B4147A" w:rsidR="002420CC" w:rsidRPr="002420CC" w:rsidRDefault="002420CC">
      <w:pPr>
        <w:pStyle w:val="FootnoteText"/>
        <w:rPr>
          <w:sz w:val="18"/>
          <w:szCs w:val="18"/>
        </w:rPr>
      </w:pPr>
      <w:r w:rsidRPr="002420CC">
        <w:rPr>
          <w:rStyle w:val="FootnoteReference"/>
          <w:sz w:val="18"/>
          <w:szCs w:val="18"/>
        </w:rPr>
        <w:footnoteRef/>
      </w:r>
      <w:r w:rsidRPr="002420CC">
        <w:rPr>
          <w:sz w:val="18"/>
          <w:szCs w:val="18"/>
        </w:rPr>
        <w:t xml:space="preserve"> Long Service Benefits Portability Act (Vic) s1.</w:t>
      </w:r>
    </w:p>
  </w:footnote>
  <w:footnote w:id="2">
    <w:p w14:paraId="01228F03" w14:textId="647C9428" w:rsidR="002420CC" w:rsidRPr="002420CC" w:rsidRDefault="002420CC" w:rsidP="002420CC">
      <w:pPr>
        <w:rPr>
          <w:sz w:val="18"/>
          <w:szCs w:val="18"/>
          <w:highlight w:val="yellow"/>
        </w:rPr>
      </w:pPr>
      <w:r w:rsidRPr="002420CC">
        <w:rPr>
          <w:rStyle w:val="FootnoteReference"/>
          <w:sz w:val="18"/>
          <w:szCs w:val="18"/>
        </w:rPr>
        <w:footnoteRef/>
      </w:r>
      <w:r w:rsidRPr="002420CC">
        <w:rPr>
          <w:sz w:val="18"/>
          <w:szCs w:val="18"/>
        </w:rPr>
        <w:t xml:space="preserve"> Ibid s36(a).</w:t>
      </w:r>
    </w:p>
  </w:footnote>
  <w:footnote w:id="3">
    <w:p w14:paraId="0E7F763F" w14:textId="2142FF63" w:rsidR="002420CC" w:rsidRPr="002420CC" w:rsidRDefault="002420CC">
      <w:pPr>
        <w:pStyle w:val="FootnoteText"/>
        <w:rPr>
          <w:sz w:val="18"/>
          <w:szCs w:val="18"/>
        </w:rPr>
      </w:pPr>
      <w:r w:rsidRPr="002420CC">
        <w:rPr>
          <w:rStyle w:val="FootnoteReference"/>
          <w:sz w:val="18"/>
          <w:szCs w:val="18"/>
        </w:rPr>
        <w:footnoteRef/>
      </w:r>
      <w:r w:rsidRPr="002420CC">
        <w:rPr>
          <w:sz w:val="18"/>
          <w:szCs w:val="18"/>
        </w:rPr>
        <w:t xml:space="preserve"> Ibid s3.</w:t>
      </w:r>
    </w:p>
  </w:footnote>
  <w:footnote w:id="4">
    <w:p w14:paraId="44197FA7" w14:textId="4D8FCF52" w:rsidR="002420CC" w:rsidRPr="002420CC" w:rsidRDefault="002420CC">
      <w:pPr>
        <w:pStyle w:val="FootnoteText"/>
        <w:rPr>
          <w:sz w:val="18"/>
          <w:szCs w:val="18"/>
        </w:rPr>
      </w:pPr>
      <w:r w:rsidRPr="002420CC">
        <w:rPr>
          <w:rStyle w:val="FootnoteReference"/>
          <w:sz w:val="18"/>
          <w:szCs w:val="18"/>
        </w:rPr>
        <w:footnoteRef/>
      </w:r>
      <w:r w:rsidRPr="002420CC">
        <w:rPr>
          <w:sz w:val="18"/>
          <w:szCs w:val="18"/>
        </w:rPr>
        <w:t xml:space="preserve"> Ibid s5.</w:t>
      </w:r>
    </w:p>
  </w:footnote>
  <w:footnote w:id="5">
    <w:p w14:paraId="084F803F" w14:textId="1A61D0B0" w:rsidR="002420CC" w:rsidRPr="002420CC" w:rsidRDefault="002420CC">
      <w:pPr>
        <w:pStyle w:val="FootnoteText"/>
        <w:rPr>
          <w:sz w:val="18"/>
          <w:szCs w:val="18"/>
        </w:rPr>
      </w:pPr>
      <w:r w:rsidRPr="002420CC">
        <w:rPr>
          <w:rStyle w:val="FootnoteReference"/>
          <w:sz w:val="18"/>
          <w:szCs w:val="18"/>
        </w:rPr>
        <w:footnoteRef/>
      </w:r>
      <w:r w:rsidRPr="002420CC">
        <w:rPr>
          <w:sz w:val="18"/>
          <w:szCs w:val="18"/>
        </w:rPr>
        <w:t xml:space="preserve"> Ibid s6.</w:t>
      </w:r>
    </w:p>
    <w:p w14:paraId="0D1400C4" w14:textId="77777777" w:rsidR="002420CC" w:rsidRDefault="002420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F1D3" w14:textId="6516E1E6" w:rsidR="004F647D" w:rsidRDefault="004F647D">
    <w:pPr>
      <w:pStyle w:val="Header"/>
    </w:pPr>
  </w:p>
  <w:p w14:paraId="33CBB11B" w14:textId="77777777" w:rsidR="004F647D" w:rsidRDefault="004F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18207" w14:textId="77777777" w:rsidR="00973B6F" w:rsidRDefault="001228D9">
    <w:pPr>
      <w:pStyle w:val="Header"/>
      <w:rPr>
        <w:noProof/>
      </w:rPr>
    </w:pPr>
    <w:r>
      <w:rPr>
        <w:noProof/>
      </w:rPr>
      <mc:AlternateContent>
        <mc:Choice Requires="wpg">
          <w:drawing>
            <wp:anchor distT="0" distB="0" distL="114300" distR="114300" simplePos="0" relativeHeight="251685888" behindDoc="0" locked="0" layoutInCell="1" allowOverlap="1" wp14:anchorId="65822123" wp14:editId="37DD8DAE">
              <wp:simplePos x="0" y="0"/>
              <wp:positionH relativeFrom="column">
                <wp:posOffset>5558155</wp:posOffset>
              </wp:positionH>
              <wp:positionV relativeFrom="paragraph">
                <wp:posOffset>13335</wp:posOffset>
              </wp:positionV>
              <wp:extent cx="1036320" cy="666750"/>
              <wp:effectExtent l="0" t="0" r="5080" b="6350"/>
              <wp:wrapNone/>
              <wp:docPr id="933917944" name="Group 11" descr="PO Box 442 &#10;Bendigo VIC 3552&#10;&#10;1800517 158 &#10;plsa.vic.gov.au"/>
              <wp:cNvGraphicFramePr/>
              <a:graphic xmlns:a="http://schemas.openxmlformats.org/drawingml/2006/main">
                <a:graphicData uri="http://schemas.microsoft.com/office/word/2010/wordprocessingGroup">
                  <wpg:wgp>
                    <wpg:cNvGrpSpPr/>
                    <wpg:grpSpPr>
                      <a:xfrm>
                        <a:off x="0" y="0"/>
                        <a:ext cx="1036320" cy="666750"/>
                        <a:chOff x="0" y="0"/>
                        <a:chExt cx="1036320" cy="667126"/>
                      </a:xfrm>
                    </wpg:grpSpPr>
                    <wps:wsp>
                      <wps:cNvPr id="1684065393" name="Text Box 1684065393"/>
                      <wps:cNvSpPr txBox="1"/>
                      <wps:spPr>
                        <a:xfrm>
                          <a:off x="0" y="0"/>
                          <a:ext cx="1036320" cy="274320"/>
                        </a:xfrm>
                        <a:prstGeom prst="rect">
                          <a:avLst/>
                        </a:prstGeom>
                        <a:noFill/>
                        <a:ln w="6350">
                          <a:noFill/>
                        </a:ln>
                      </wps:spPr>
                      <wps:txbx>
                        <w:txbxContent>
                          <w:p w14:paraId="0CAF4855" w14:textId="77777777" w:rsidR="00644F3A" w:rsidRPr="001228D9" w:rsidRDefault="00644F3A" w:rsidP="007E6BBA">
                            <w:pPr>
                              <w:pStyle w:val="Footer"/>
                              <w:spacing w:before="0" w:line="240" w:lineRule="auto"/>
                              <w:rPr>
                                <w:b/>
                                <w:bCs/>
                              </w:rPr>
                            </w:pPr>
                            <w:r w:rsidRPr="001228D9">
                              <w:rPr>
                                <w:b/>
                                <w:bCs/>
                              </w:rPr>
                              <w:t xml:space="preserve">PO Box 443 </w:t>
                            </w:r>
                          </w:p>
                          <w:p w14:paraId="3B769E59" w14:textId="77777777" w:rsidR="00644F3A" w:rsidRPr="001228D9" w:rsidRDefault="00644F3A" w:rsidP="007E6BBA">
                            <w:pPr>
                              <w:pStyle w:val="Footer"/>
                              <w:spacing w:before="0" w:line="240" w:lineRule="auto"/>
                              <w:rPr>
                                <w:b/>
                                <w:bCs/>
                              </w:rPr>
                            </w:pPr>
                            <w:r w:rsidRPr="001228D9">
                              <w:rPr>
                                <w:b/>
                                <w:bCs/>
                              </w:rPr>
                              <w:t>Bendigo VIC 3552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04222928" name="Text Box 1504222928"/>
                      <wps:cNvSpPr txBox="1"/>
                      <wps:spPr>
                        <a:xfrm>
                          <a:off x="0" y="392806"/>
                          <a:ext cx="1000760" cy="274320"/>
                        </a:xfrm>
                        <a:prstGeom prst="rect">
                          <a:avLst/>
                        </a:prstGeom>
                        <a:noFill/>
                        <a:ln w="6350">
                          <a:noFill/>
                        </a:ln>
                      </wps:spPr>
                      <wps:txbx>
                        <w:txbxContent>
                          <w:p w14:paraId="7D537293" w14:textId="77777777" w:rsidR="007E6BBA" w:rsidRPr="001228D9" w:rsidRDefault="007E6BBA" w:rsidP="007E6BBA">
                            <w:pPr>
                              <w:pStyle w:val="Footer"/>
                              <w:spacing w:before="0" w:line="240" w:lineRule="auto"/>
                              <w:rPr>
                                <w:b/>
                                <w:bCs/>
                              </w:rPr>
                            </w:pPr>
                            <w:r w:rsidRPr="001228D9">
                              <w:rPr>
                                <w:b/>
                                <w:bCs/>
                              </w:rPr>
                              <w:t>1800 517 158</w:t>
                            </w:r>
                          </w:p>
                          <w:p w14:paraId="055F5D9A" w14:textId="77777777" w:rsidR="007E6BBA" w:rsidRPr="001228D9" w:rsidRDefault="007E6BBA" w:rsidP="007E6BBA">
                            <w:pPr>
                              <w:pStyle w:val="Footer"/>
                              <w:spacing w:before="0" w:line="240" w:lineRule="auto"/>
                              <w:rPr>
                                <w:b/>
                                <w:bCs/>
                              </w:rPr>
                            </w:pPr>
                            <w:r w:rsidRPr="001228D9">
                              <w:rPr>
                                <w:b/>
                                <w:bCs/>
                              </w:rPr>
                              <w:t>plsa.vic.gov.au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822123" id="Group 11" o:spid="_x0000_s1029" alt="PO Box 442 &#10;Bendigo VIC 3552&#10;&#10;1800517 158 &#10;plsa.vic.gov.au" style="position:absolute;margin-left:437.65pt;margin-top:1.05pt;width:81.6pt;height:52.5pt;z-index:251685888;mso-width-relative:margin;mso-height-relative:margin" coordsize="10363,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">
              <v:shapetype id="_x0000_t202" coordsize="21600,21600" o:spt="202" path="m,l,21600r21600,l21600,xe">
                <v:stroke joinstyle="miter"/>
                <v:path gradientshapeok="t" o:connecttype="rect"/>
              </v:shapetype>
              <v:shape id="Text Box 1684065393" o:spid="_x0000_s1030" type="#_x0000_t202" style="position:absolute;width:1036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" filled="f" stroked="f" strokeweight=".5pt">
                <v:textbox inset="0,0,0,0">
                  <w:txbxContent>
                    <w:p w14:paraId="0CAF4855" w14:textId="77777777" w:rsidR="00644F3A" w:rsidRPr="001228D9" w:rsidRDefault="00644F3A" w:rsidP="007E6BBA">
                      <w:pPr>
                        <w:pStyle w:val="Footer"/>
                        <w:spacing w:before="0" w:line="240" w:lineRule="auto"/>
                        <w:rPr>
                          <w:b/>
                          <w:bCs/>
                        </w:rPr>
                      </w:pPr>
                      <w:r w:rsidRPr="001228D9">
                        <w:rPr>
                          <w:b/>
                          <w:bCs/>
                        </w:rPr>
                        <w:t xml:space="preserve">PO Box 443 </w:t>
                      </w:r>
                    </w:p>
                    <w:p w14:paraId="3B769E59" w14:textId="77777777" w:rsidR="00644F3A" w:rsidRPr="001228D9" w:rsidRDefault="00644F3A" w:rsidP="007E6BBA">
                      <w:pPr>
                        <w:pStyle w:val="Footer"/>
                        <w:spacing w:before="0" w:line="240" w:lineRule="auto"/>
                        <w:rPr>
                          <w:b/>
                          <w:bCs/>
                        </w:rPr>
                      </w:pPr>
                      <w:r w:rsidRPr="001228D9">
                        <w:rPr>
                          <w:b/>
                          <w:bCs/>
                        </w:rPr>
                        <w:t>Bendigo VIC 3552</w:t>
                      </w:r>
                    </w:p>
                  </w:txbxContent>
                </v:textbox>
              </v:shape>
              <v:shape id="Text Box 1504222928" o:spid="_x0000_s1031" type="#_x0000_t202" style="position:absolute;top:3928;width:1000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" filled="f" stroked="f" strokeweight=".5pt">
                <v:textbox inset="0,0,0,0">
                  <w:txbxContent>
                    <w:p w14:paraId="7D537293" w14:textId="77777777" w:rsidR="007E6BBA" w:rsidRPr="001228D9" w:rsidRDefault="007E6BBA" w:rsidP="007E6BBA">
                      <w:pPr>
                        <w:pStyle w:val="Footer"/>
                        <w:spacing w:before="0" w:line="240" w:lineRule="auto"/>
                        <w:rPr>
                          <w:b/>
                          <w:bCs/>
                        </w:rPr>
                      </w:pPr>
                      <w:r w:rsidRPr="001228D9">
                        <w:rPr>
                          <w:b/>
                          <w:bCs/>
                        </w:rPr>
                        <w:t>1800 517 158</w:t>
                      </w:r>
                    </w:p>
                    <w:p w14:paraId="055F5D9A" w14:textId="77777777" w:rsidR="007E6BBA" w:rsidRPr="001228D9" w:rsidRDefault="007E6BBA" w:rsidP="007E6BBA">
                      <w:pPr>
                        <w:pStyle w:val="Footer"/>
                        <w:spacing w:before="0" w:line="240" w:lineRule="auto"/>
                        <w:rPr>
                          <w:b/>
                          <w:bCs/>
                        </w:rPr>
                      </w:pPr>
                      <w:r w:rsidRPr="001228D9">
                        <w:rPr>
                          <w:b/>
                          <w:bCs/>
                        </w:rPr>
                        <w:t>plsa.vic.gov.au</w:t>
                      </w:r>
                    </w:p>
                  </w:txbxContent>
                </v:textbox>
              </v:shape>
            </v:group>
          </w:pict>
        </mc:Fallback>
      </mc:AlternateContent>
    </w:r>
    <w:r w:rsidR="00973B6F">
      <w:rPr>
        <w:noProof/>
      </w:rPr>
      <mc:AlternateContent>
        <mc:Choice Requires="wps">
          <w:drawing>
            <wp:anchor distT="0" distB="0" distL="114300" distR="114300" simplePos="0" relativeHeight="251659775" behindDoc="0" locked="0" layoutInCell="1" allowOverlap="1" wp14:anchorId="0876D01A" wp14:editId="499120E2">
              <wp:simplePos x="0" y="0"/>
              <wp:positionH relativeFrom="column">
                <wp:posOffset>-360680</wp:posOffset>
              </wp:positionH>
              <wp:positionV relativeFrom="paragraph">
                <wp:posOffset>-273050</wp:posOffset>
              </wp:positionV>
              <wp:extent cx="7208520" cy="1238250"/>
              <wp:effectExtent l="0" t="0" r="5080" b="6350"/>
              <wp:wrapTopAndBottom/>
              <wp:docPr id="6" name="Rounded 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08520" cy="1238250"/>
                      </a:xfrm>
                      <a:prstGeom prst="roundRect">
                        <a:avLst>
                          <a:gd name="adj" fmla="val 625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D8BDC4" w14:textId="77777777" w:rsidR="002A7990" w:rsidRPr="00915CF9" w:rsidRDefault="002A7990" w:rsidP="00915CF9">
                          <w:pPr>
                            <w:pStyle w:val="HeaderDocumentTitle"/>
                            <w:rPr>
                              <w:bCs/>
                              <w14:textOutline w14:w="9525" w14:cap="rnd" w14:cmpd="sng" w14:algn="ctr">
                                <w14:noFill/>
                                <w14:prstDash w14:val="solid"/>
                                <w14:bevel/>
                              </w14:textOutline>
                            </w:rP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6D01A" id="Rounded Rectangle 1" o:spid="_x0000_s1032" alt="&quot;&quot;" style="position:absolute;margin-left:-28.4pt;margin-top:-21.5pt;width:567.6pt;height:97.5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" fillcolor="#e9f5eb [3206]" stroked="f" strokeweight="1pt">
              <v:stroke joinstyle="miter"/>
              <v:textbox inset="10mm,10mm,10mm,10mm">
                <w:txbxContent>
                  <w:p w14:paraId="4AD8BDC4" w14:textId="77777777" w:rsidR="002A7990" w:rsidRPr="00915CF9" w:rsidRDefault="002A7990" w:rsidP="00915CF9">
                    <w:pPr>
                      <w:pStyle w:val="HeaderDocumentTitle"/>
                      <w:rPr>
                        <w:bCs/>
                        <w14:textOutline w14:w="9525" w14:cap="rnd" w14:cmpd="sng" w14:algn="ctr">
                          <w14:noFill/>
                          <w14:prstDash w14:val="solid"/>
                          <w14:bevel/>
                        </w14:textOutline>
                      </w:rPr>
                    </w:pPr>
                  </w:p>
                </w:txbxContent>
              </v:textbox>
              <w10:wrap type="topAndBottom"/>
            </v:roundrect>
          </w:pict>
        </mc:Fallback>
      </mc:AlternateContent>
    </w:r>
    <w:r w:rsidR="005E4FBD" w:rsidRPr="005E4FBD">
      <w:rPr>
        <w:noProof/>
      </w:rPr>
      <w:drawing>
        <wp:anchor distT="0" distB="0" distL="114300" distR="114300" simplePos="0" relativeHeight="251681792" behindDoc="0" locked="0" layoutInCell="1" allowOverlap="1" wp14:anchorId="7372B979" wp14:editId="7F53804B">
          <wp:simplePos x="0" y="0"/>
          <wp:positionH relativeFrom="column">
            <wp:posOffset>-56515</wp:posOffset>
          </wp:positionH>
          <wp:positionV relativeFrom="paragraph">
            <wp:posOffset>-30480</wp:posOffset>
          </wp:positionV>
          <wp:extent cx="975040" cy="750570"/>
          <wp:effectExtent l="0" t="0" r="3175" b="0"/>
          <wp:wrapNone/>
          <wp:docPr id="1935042016" name="Picture 1" descr="Portable Long Service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42016" name="Picture 1" descr="Portable Long Service Authority logo"/>
                  <pic:cNvPicPr/>
                </pic:nvPicPr>
                <pic:blipFill>
                  <a:blip r:embed="rId1"/>
                  <a:stretch>
                    <a:fillRect/>
                  </a:stretch>
                </pic:blipFill>
                <pic:spPr>
                  <a:xfrm>
                    <a:off x="0" y="0"/>
                    <a:ext cx="975040" cy="750570"/>
                  </a:xfrm>
                  <a:prstGeom prst="rect">
                    <a:avLst/>
                  </a:prstGeom>
                </pic:spPr>
              </pic:pic>
            </a:graphicData>
          </a:graphic>
          <wp14:sizeRelH relativeFrom="page">
            <wp14:pctWidth>0</wp14:pctWidth>
          </wp14:sizeRelH>
          <wp14:sizeRelV relativeFrom="page">
            <wp14:pctHeight>0</wp14:pctHeight>
          </wp14:sizeRelV>
        </wp:anchor>
      </w:drawing>
    </w:r>
  </w:p>
  <w:p w14:paraId="77C63057" w14:textId="77777777" w:rsidR="002A7990" w:rsidRDefault="002A7990" w:rsidP="00973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8C35CD9"/>
    <w:multiLevelType w:val="hybridMultilevel"/>
    <w:tmpl w:val="3586D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1646C884"/>
    <w:numStyleLink w:val="Bullets"/>
  </w:abstractNum>
  <w:abstractNum w:abstractNumId="15" w15:restartNumberingAfterBreak="0">
    <w:nsid w:val="0EF876C5"/>
    <w:multiLevelType w:val="hybridMultilevel"/>
    <w:tmpl w:val="72140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97DAEA0E"/>
    <w:numStyleLink w:val="Numbering"/>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9615AF6"/>
    <w:multiLevelType w:val="hybridMultilevel"/>
    <w:tmpl w:val="B4B63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322B09"/>
    <w:multiLevelType w:val="multilevel"/>
    <w:tmpl w:val="97DAEA0E"/>
    <w:numStyleLink w:val="Numbering"/>
  </w:abstractNum>
  <w:abstractNum w:abstractNumId="21" w15:restartNumberingAfterBreak="0">
    <w:nsid w:val="22315958"/>
    <w:multiLevelType w:val="hybridMultilevel"/>
    <w:tmpl w:val="BC081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1F1D0F"/>
    <w:multiLevelType w:val="multilevel"/>
    <w:tmpl w:val="1646C884"/>
    <w:numStyleLink w:val="Bullets"/>
  </w:abstractNum>
  <w:abstractNum w:abstractNumId="23" w15:restartNumberingAfterBreak="0">
    <w:nsid w:val="41397427"/>
    <w:multiLevelType w:val="multilevel"/>
    <w:tmpl w:val="97DAEA0E"/>
    <w:numStyleLink w:val="Numbering"/>
  </w:abstractNum>
  <w:abstractNum w:abstractNumId="24"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4E7F1CD0"/>
    <w:multiLevelType w:val="multilevel"/>
    <w:tmpl w:val="97DAEA0E"/>
    <w:numStyleLink w:val="Numbering"/>
  </w:abstractNum>
  <w:abstractNum w:abstractNumId="26" w15:restartNumberingAfterBreak="0">
    <w:nsid w:val="58B73D84"/>
    <w:multiLevelType w:val="multilevel"/>
    <w:tmpl w:val="50041352"/>
    <w:numStyleLink w:val="ListHeadings"/>
  </w:abstractNum>
  <w:abstractNum w:abstractNumId="27" w15:restartNumberingAfterBreak="0">
    <w:nsid w:val="596A0C8C"/>
    <w:multiLevelType w:val="multilevel"/>
    <w:tmpl w:val="97DAEA0E"/>
    <w:numStyleLink w:val="Numbering"/>
  </w:abstractNum>
  <w:abstractNum w:abstractNumId="28"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9" w15:restartNumberingAfterBreak="0">
    <w:nsid w:val="60F02CCC"/>
    <w:multiLevelType w:val="hybridMultilevel"/>
    <w:tmpl w:val="7F44E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3520E2"/>
    <w:multiLevelType w:val="multilevel"/>
    <w:tmpl w:val="1646C884"/>
    <w:numStyleLink w:val="Bullets"/>
  </w:abstractNum>
  <w:abstractNum w:abstractNumId="31" w15:restartNumberingAfterBreak="0">
    <w:nsid w:val="660D51AD"/>
    <w:multiLevelType w:val="multilevel"/>
    <w:tmpl w:val="97DAEA0E"/>
    <w:numStyleLink w:val="Numbering"/>
  </w:abstractNum>
  <w:abstractNum w:abstractNumId="32" w15:restartNumberingAfterBreak="0">
    <w:nsid w:val="6EE93CA4"/>
    <w:multiLevelType w:val="hybridMultilevel"/>
    <w:tmpl w:val="406027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4D0736"/>
    <w:multiLevelType w:val="multilevel"/>
    <w:tmpl w:val="97DAEA0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8"/>
  </w:num>
  <w:num w:numId="12" w16cid:durableId="1261796759">
    <w:abstractNumId w:val="30"/>
  </w:num>
  <w:num w:numId="13" w16cid:durableId="1043405154">
    <w:abstractNumId w:val="22"/>
  </w:num>
  <w:num w:numId="14" w16cid:durableId="846598071">
    <w:abstractNumId w:val="16"/>
  </w:num>
  <w:num w:numId="15" w16cid:durableId="1311640227">
    <w:abstractNumId w:val="33"/>
  </w:num>
  <w:num w:numId="16" w16cid:durableId="881941196">
    <w:abstractNumId w:val="25"/>
  </w:num>
  <w:num w:numId="17" w16cid:durableId="533617442">
    <w:abstractNumId w:val="31"/>
  </w:num>
  <w:num w:numId="18" w16cid:durableId="250312982">
    <w:abstractNumId w:val="10"/>
  </w:num>
  <w:num w:numId="19" w16cid:durableId="385955825">
    <w:abstractNumId w:val="13"/>
  </w:num>
  <w:num w:numId="20" w16cid:durableId="1408189744">
    <w:abstractNumId w:val="23"/>
  </w:num>
  <w:num w:numId="21" w16cid:durableId="1370494809">
    <w:abstractNumId w:val="17"/>
  </w:num>
  <w:num w:numId="22" w16cid:durableId="659580476">
    <w:abstractNumId w:val="12"/>
  </w:num>
  <w:num w:numId="23" w16cid:durableId="2036539326">
    <w:abstractNumId w:val="14"/>
  </w:num>
  <w:num w:numId="24" w16cid:durableId="1303265532">
    <w:abstractNumId w:val="20"/>
  </w:num>
  <w:num w:numId="25" w16cid:durableId="1737582058">
    <w:abstractNumId w:val="27"/>
  </w:num>
  <w:num w:numId="26" w16cid:durableId="974717717">
    <w:abstractNumId w:val="26"/>
  </w:num>
  <w:num w:numId="27" w16cid:durableId="444039133">
    <w:abstractNumId w:val="18"/>
  </w:num>
  <w:num w:numId="28" w16cid:durableId="1536448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4"/>
  </w:num>
  <w:num w:numId="30" w16cid:durableId="1283806422">
    <w:abstractNumId w:val="29"/>
  </w:num>
  <w:num w:numId="31" w16cid:durableId="790248889">
    <w:abstractNumId w:val="11"/>
  </w:num>
  <w:num w:numId="32" w16cid:durableId="193885775">
    <w:abstractNumId w:val="19"/>
  </w:num>
  <w:num w:numId="33" w16cid:durableId="1496872026">
    <w:abstractNumId w:val="32"/>
  </w:num>
  <w:num w:numId="34" w16cid:durableId="1374041015">
    <w:abstractNumId w:val="21"/>
  </w:num>
  <w:num w:numId="35" w16cid:durableId="4567216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71"/>
    <w:rsid w:val="0000383B"/>
    <w:rsid w:val="0001466A"/>
    <w:rsid w:val="000300AF"/>
    <w:rsid w:val="00033B06"/>
    <w:rsid w:val="000347DC"/>
    <w:rsid w:val="00044AA5"/>
    <w:rsid w:val="00070FF1"/>
    <w:rsid w:val="000724AE"/>
    <w:rsid w:val="0008037D"/>
    <w:rsid w:val="0008565A"/>
    <w:rsid w:val="000A27BD"/>
    <w:rsid w:val="000B497F"/>
    <w:rsid w:val="000B51AA"/>
    <w:rsid w:val="000D7EE8"/>
    <w:rsid w:val="00107AFF"/>
    <w:rsid w:val="00112E8F"/>
    <w:rsid w:val="001228D9"/>
    <w:rsid w:val="001268BC"/>
    <w:rsid w:val="00141C61"/>
    <w:rsid w:val="00153EAE"/>
    <w:rsid w:val="00167D45"/>
    <w:rsid w:val="0017365D"/>
    <w:rsid w:val="001953DD"/>
    <w:rsid w:val="001A0D77"/>
    <w:rsid w:val="001A5586"/>
    <w:rsid w:val="001C7835"/>
    <w:rsid w:val="001D7DC1"/>
    <w:rsid w:val="001E4C19"/>
    <w:rsid w:val="001F13C1"/>
    <w:rsid w:val="001F446D"/>
    <w:rsid w:val="001F6314"/>
    <w:rsid w:val="00206395"/>
    <w:rsid w:val="002068CA"/>
    <w:rsid w:val="00221AB7"/>
    <w:rsid w:val="002247DE"/>
    <w:rsid w:val="002420CC"/>
    <w:rsid w:val="00246435"/>
    <w:rsid w:val="00246BCF"/>
    <w:rsid w:val="00253A9C"/>
    <w:rsid w:val="00270834"/>
    <w:rsid w:val="002814E6"/>
    <w:rsid w:val="002870AB"/>
    <w:rsid w:val="002965C0"/>
    <w:rsid w:val="00297CB4"/>
    <w:rsid w:val="002A7990"/>
    <w:rsid w:val="002E0EDA"/>
    <w:rsid w:val="002E7A9E"/>
    <w:rsid w:val="002F1C17"/>
    <w:rsid w:val="002F472E"/>
    <w:rsid w:val="00305171"/>
    <w:rsid w:val="00314B34"/>
    <w:rsid w:val="00320A43"/>
    <w:rsid w:val="0034680A"/>
    <w:rsid w:val="003636F3"/>
    <w:rsid w:val="00363FF8"/>
    <w:rsid w:val="00374847"/>
    <w:rsid w:val="0037721D"/>
    <w:rsid w:val="0038102A"/>
    <w:rsid w:val="003D23A3"/>
    <w:rsid w:val="003D3729"/>
    <w:rsid w:val="003D4FC7"/>
    <w:rsid w:val="003D5856"/>
    <w:rsid w:val="003E05FB"/>
    <w:rsid w:val="003F1F9E"/>
    <w:rsid w:val="0040344F"/>
    <w:rsid w:val="00404E4F"/>
    <w:rsid w:val="00412CDA"/>
    <w:rsid w:val="0041673A"/>
    <w:rsid w:val="0042339A"/>
    <w:rsid w:val="0042508F"/>
    <w:rsid w:val="00444070"/>
    <w:rsid w:val="004635FD"/>
    <w:rsid w:val="0047291C"/>
    <w:rsid w:val="00483FB0"/>
    <w:rsid w:val="00491CF6"/>
    <w:rsid w:val="004944D1"/>
    <w:rsid w:val="004A0AA3"/>
    <w:rsid w:val="004A5097"/>
    <w:rsid w:val="004B609E"/>
    <w:rsid w:val="004D0322"/>
    <w:rsid w:val="004E0833"/>
    <w:rsid w:val="004E220E"/>
    <w:rsid w:val="004E2702"/>
    <w:rsid w:val="004E28C6"/>
    <w:rsid w:val="004F138F"/>
    <w:rsid w:val="004F49B8"/>
    <w:rsid w:val="004F647D"/>
    <w:rsid w:val="00500C61"/>
    <w:rsid w:val="00502144"/>
    <w:rsid w:val="0050670B"/>
    <w:rsid w:val="00510D22"/>
    <w:rsid w:val="00513645"/>
    <w:rsid w:val="005141E8"/>
    <w:rsid w:val="005207BE"/>
    <w:rsid w:val="00534D4F"/>
    <w:rsid w:val="00547356"/>
    <w:rsid w:val="00550C99"/>
    <w:rsid w:val="00553413"/>
    <w:rsid w:val="005567F2"/>
    <w:rsid w:val="00577E2E"/>
    <w:rsid w:val="005825F9"/>
    <w:rsid w:val="0058369E"/>
    <w:rsid w:val="0058725F"/>
    <w:rsid w:val="00593314"/>
    <w:rsid w:val="00594496"/>
    <w:rsid w:val="005A28EE"/>
    <w:rsid w:val="005A3182"/>
    <w:rsid w:val="005B2764"/>
    <w:rsid w:val="005B47B0"/>
    <w:rsid w:val="005C52EB"/>
    <w:rsid w:val="005C6618"/>
    <w:rsid w:val="005D14A6"/>
    <w:rsid w:val="005D2502"/>
    <w:rsid w:val="005E1C2B"/>
    <w:rsid w:val="005E4FBD"/>
    <w:rsid w:val="0060182C"/>
    <w:rsid w:val="00602C13"/>
    <w:rsid w:val="00603FD5"/>
    <w:rsid w:val="00607A68"/>
    <w:rsid w:val="00616DC8"/>
    <w:rsid w:val="00622D23"/>
    <w:rsid w:val="00644F3A"/>
    <w:rsid w:val="00645736"/>
    <w:rsid w:val="006479F8"/>
    <w:rsid w:val="0065225C"/>
    <w:rsid w:val="006664C2"/>
    <w:rsid w:val="0067014A"/>
    <w:rsid w:val="00677AC3"/>
    <w:rsid w:val="0068724F"/>
    <w:rsid w:val="00693358"/>
    <w:rsid w:val="006A1DEF"/>
    <w:rsid w:val="006C4AF4"/>
    <w:rsid w:val="006D3D02"/>
    <w:rsid w:val="006D3F2F"/>
    <w:rsid w:val="006E016E"/>
    <w:rsid w:val="006E3536"/>
    <w:rsid w:val="0070342B"/>
    <w:rsid w:val="00714488"/>
    <w:rsid w:val="00717C49"/>
    <w:rsid w:val="007254A7"/>
    <w:rsid w:val="00725DCB"/>
    <w:rsid w:val="00742311"/>
    <w:rsid w:val="00747D65"/>
    <w:rsid w:val="00756CFB"/>
    <w:rsid w:val="0077051D"/>
    <w:rsid w:val="00787CE6"/>
    <w:rsid w:val="00794DA7"/>
    <w:rsid w:val="007A0363"/>
    <w:rsid w:val="007A2CD9"/>
    <w:rsid w:val="007B4F7C"/>
    <w:rsid w:val="007E6BBA"/>
    <w:rsid w:val="0081533C"/>
    <w:rsid w:val="00815A4D"/>
    <w:rsid w:val="00816424"/>
    <w:rsid w:val="0085439B"/>
    <w:rsid w:val="00863DE7"/>
    <w:rsid w:val="00875B8C"/>
    <w:rsid w:val="00875DC3"/>
    <w:rsid w:val="0089026B"/>
    <w:rsid w:val="008B05C3"/>
    <w:rsid w:val="008B48BF"/>
    <w:rsid w:val="008B4965"/>
    <w:rsid w:val="008D1427"/>
    <w:rsid w:val="008D1ABD"/>
    <w:rsid w:val="008D594F"/>
    <w:rsid w:val="008E634A"/>
    <w:rsid w:val="008F6917"/>
    <w:rsid w:val="008F70D1"/>
    <w:rsid w:val="008F7711"/>
    <w:rsid w:val="0090137A"/>
    <w:rsid w:val="00915CF9"/>
    <w:rsid w:val="00932703"/>
    <w:rsid w:val="00936068"/>
    <w:rsid w:val="009517CC"/>
    <w:rsid w:val="0095554D"/>
    <w:rsid w:val="009615D4"/>
    <w:rsid w:val="00973B6F"/>
    <w:rsid w:val="00974677"/>
    <w:rsid w:val="009920DF"/>
    <w:rsid w:val="009A2F17"/>
    <w:rsid w:val="009B70DE"/>
    <w:rsid w:val="009C5432"/>
    <w:rsid w:val="009D003E"/>
    <w:rsid w:val="009D24F5"/>
    <w:rsid w:val="009D3739"/>
    <w:rsid w:val="009F426D"/>
    <w:rsid w:val="00A13664"/>
    <w:rsid w:val="00A24EF4"/>
    <w:rsid w:val="00A306E2"/>
    <w:rsid w:val="00A33747"/>
    <w:rsid w:val="00A41378"/>
    <w:rsid w:val="00A80C43"/>
    <w:rsid w:val="00A90151"/>
    <w:rsid w:val="00A91413"/>
    <w:rsid w:val="00A9359B"/>
    <w:rsid w:val="00AA163B"/>
    <w:rsid w:val="00AA1D99"/>
    <w:rsid w:val="00AB5F12"/>
    <w:rsid w:val="00AC0558"/>
    <w:rsid w:val="00AD6C2D"/>
    <w:rsid w:val="00AE5AB6"/>
    <w:rsid w:val="00AF2097"/>
    <w:rsid w:val="00B153EB"/>
    <w:rsid w:val="00B16C19"/>
    <w:rsid w:val="00B23603"/>
    <w:rsid w:val="00B24B55"/>
    <w:rsid w:val="00B255CB"/>
    <w:rsid w:val="00B2713D"/>
    <w:rsid w:val="00B302A2"/>
    <w:rsid w:val="00B32D6C"/>
    <w:rsid w:val="00B34631"/>
    <w:rsid w:val="00B3749D"/>
    <w:rsid w:val="00B65A30"/>
    <w:rsid w:val="00B65DAA"/>
    <w:rsid w:val="00B66B2F"/>
    <w:rsid w:val="00B71E39"/>
    <w:rsid w:val="00B74F7F"/>
    <w:rsid w:val="00B75B08"/>
    <w:rsid w:val="00B808A4"/>
    <w:rsid w:val="00B87859"/>
    <w:rsid w:val="00B91D47"/>
    <w:rsid w:val="00BA3CB8"/>
    <w:rsid w:val="00BA7623"/>
    <w:rsid w:val="00BB26AF"/>
    <w:rsid w:val="00BD36E8"/>
    <w:rsid w:val="00BF68C8"/>
    <w:rsid w:val="00C01E68"/>
    <w:rsid w:val="00C11924"/>
    <w:rsid w:val="00C31AD8"/>
    <w:rsid w:val="00C326F9"/>
    <w:rsid w:val="00C37A29"/>
    <w:rsid w:val="00C41DED"/>
    <w:rsid w:val="00C55C51"/>
    <w:rsid w:val="00C70EFC"/>
    <w:rsid w:val="00C932F3"/>
    <w:rsid w:val="00C94E01"/>
    <w:rsid w:val="00CA61AB"/>
    <w:rsid w:val="00CB2F0C"/>
    <w:rsid w:val="00CC3E35"/>
    <w:rsid w:val="00CD584D"/>
    <w:rsid w:val="00CD61EB"/>
    <w:rsid w:val="00CE38A4"/>
    <w:rsid w:val="00CF02F0"/>
    <w:rsid w:val="00CF4283"/>
    <w:rsid w:val="00D048B4"/>
    <w:rsid w:val="00D11C03"/>
    <w:rsid w:val="00D16F74"/>
    <w:rsid w:val="00D20F43"/>
    <w:rsid w:val="00D22930"/>
    <w:rsid w:val="00D313E7"/>
    <w:rsid w:val="00D33866"/>
    <w:rsid w:val="00D46965"/>
    <w:rsid w:val="00D567C3"/>
    <w:rsid w:val="00D60649"/>
    <w:rsid w:val="00D61E88"/>
    <w:rsid w:val="00D82889"/>
    <w:rsid w:val="00D83923"/>
    <w:rsid w:val="00D9419D"/>
    <w:rsid w:val="00DA376F"/>
    <w:rsid w:val="00DA7D79"/>
    <w:rsid w:val="00DD0FF6"/>
    <w:rsid w:val="00DD15ED"/>
    <w:rsid w:val="00DD3B99"/>
    <w:rsid w:val="00DF4E3E"/>
    <w:rsid w:val="00E0453D"/>
    <w:rsid w:val="00E05FA6"/>
    <w:rsid w:val="00E22180"/>
    <w:rsid w:val="00E246AA"/>
    <w:rsid w:val="00E25474"/>
    <w:rsid w:val="00E30720"/>
    <w:rsid w:val="00E32F93"/>
    <w:rsid w:val="00E42E3C"/>
    <w:rsid w:val="00E54B2B"/>
    <w:rsid w:val="00E63083"/>
    <w:rsid w:val="00E71EE4"/>
    <w:rsid w:val="00E760AE"/>
    <w:rsid w:val="00E82B45"/>
    <w:rsid w:val="00E87BA8"/>
    <w:rsid w:val="00EA1943"/>
    <w:rsid w:val="00EA63AE"/>
    <w:rsid w:val="00EB6FFA"/>
    <w:rsid w:val="00EC372F"/>
    <w:rsid w:val="00EE6F14"/>
    <w:rsid w:val="00EF3F23"/>
    <w:rsid w:val="00EF5732"/>
    <w:rsid w:val="00F130FB"/>
    <w:rsid w:val="00F162D4"/>
    <w:rsid w:val="00F4010B"/>
    <w:rsid w:val="00F40327"/>
    <w:rsid w:val="00F43A6F"/>
    <w:rsid w:val="00F44438"/>
    <w:rsid w:val="00F4702C"/>
    <w:rsid w:val="00F505B8"/>
    <w:rsid w:val="00F53397"/>
    <w:rsid w:val="00F57B6D"/>
    <w:rsid w:val="00F61BE0"/>
    <w:rsid w:val="00F634F6"/>
    <w:rsid w:val="00F64343"/>
    <w:rsid w:val="00F76471"/>
    <w:rsid w:val="00F87678"/>
    <w:rsid w:val="00F87B07"/>
    <w:rsid w:val="00F93598"/>
    <w:rsid w:val="00F94880"/>
    <w:rsid w:val="00F95858"/>
    <w:rsid w:val="00FA4E19"/>
    <w:rsid w:val="00FB0D65"/>
    <w:rsid w:val="00FB4A9F"/>
    <w:rsid w:val="00FC2D8B"/>
    <w:rsid w:val="00FC4ABF"/>
    <w:rsid w:val="00FC55C6"/>
    <w:rsid w:val="00FD3306"/>
    <w:rsid w:val="00FE57D8"/>
    <w:rsid w:val="00FF5B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D02E"/>
  <w15:chartTrackingRefBased/>
  <w15:docId w15:val="{D3D57984-DF0E-49CB-8223-9964EED1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CE6"/>
    <w:pPr>
      <w:spacing w:before="80" w:after="120" w:line="264" w:lineRule="auto"/>
    </w:pPr>
    <w:rPr>
      <w:sz w:val="20"/>
    </w:rPr>
  </w:style>
  <w:style w:type="paragraph" w:styleId="Heading1">
    <w:name w:val="heading 1"/>
    <w:basedOn w:val="Normal"/>
    <w:next w:val="Normal"/>
    <w:link w:val="Heading1Char"/>
    <w:uiPriority w:val="9"/>
    <w:qFormat/>
    <w:rsid w:val="00756CFB"/>
    <w:pPr>
      <w:keepNext/>
      <w:keepLines/>
      <w:spacing w:before="240" w:after="60"/>
      <w:outlineLvl w:val="0"/>
    </w:pPr>
    <w:rPr>
      <w:rFonts w:ascii="Arial Rounded MT Bold" w:eastAsiaTheme="majorEastAsia" w:hAnsi="Arial Rounded MT Bold" w:cstheme="majorBidi"/>
      <w:b/>
      <w:color w:val="00575C" w:themeColor="text2"/>
      <w:sz w:val="36"/>
      <w:szCs w:val="32"/>
    </w:rPr>
  </w:style>
  <w:style w:type="paragraph" w:styleId="Heading2">
    <w:name w:val="heading 2"/>
    <w:basedOn w:val="Normal"/>
    <w:next w:val="Normal"/>
    <w:link w:val="Heading2Char"/>
    <w:uiPriority w:val="9"/>
    <w:unhideWhenUsed/>
    <w:qFormat/>
    <w:rsid w:val="00787CE6"/>
    <w:pPr>
      <w:keepNext/>
      <w:keepLines/>
      <w:spacing w:after="60"/>
      <w:outlineLvl w:val="1"/>
    </w:pPr>
    <w:rPr>
      <w:rFonts w:ascii="Arial Rounded MT Bold" w:eastAsiaTheme="majorEastAsia" w:hAnsi="Arial Rounded MT Bold" w:cstheme="majorBidi"/>
      <w:b/>
      <w:color w:val="00575C" w:themeColor="text2"/>
      <w:sz w:val="24"/>
      <w:szCs w:val="26"/>
    </w:rPr>
  </w:style>
  <w:style w:type="paragraph" w:styleId="Heading3">
    <w:name w:val="heading 3"/>
    <w:basedOn w:val="Normal"/>
    <w:next w:val="Normal"/>
    <w:link w:val="Heading3Char"/>
    <w:uiPriority w:val="9"/>
    <w:unhideWhenUsed/>
    <w:qFormat/>
    <w:rsid w:val="004944D1"/>
    <w:pPr>
      <w:keepNext/>
      <w:keepLines/>
      <w:spacing w:after="60"/>
      <w:outlineLvl w:val="2"/>
    </w:pPr>
    <w:rPr>
      <w:rFonts w:ascii="Arial Rounded MT Bold" w:eastAsiaTheme="majorEastAsia" w:hAnsi="Arial Rounded MT Bold" w:cstheme="majorBidi"/>
      <w:b/>
      <w:color w:val="000000" w:themeColor="text1"/>
      <w:sz w:val="21"/>
      <w:szCs w:val="24"/>
    </w:rPr>
  </w:style>
  <w:style w:type="paragraph" w:styleId="Heading4">
    <w:name w:val="heading 4"/>
    <w:basedOn w:val="Normal"/>
    <w:next w:val="Normal"/>
    <w:link w:val="Heading4Char"/>
    <w:uiPriority w:val="9"/>
    <w:unhideWhenUsed/>
    <w:qFormat/>
    <w:rsid w:val="00787CE6"/>
    <w:pPr>
      <w:keepNext/>
      <w:keepLines/>
      <w:outlineLvl w:val="3"/>
    </w:pPr>
    <w:rPr>
      <w:rFonts w:ascii="Arial Rounded MT Bold" w:eastAsiaTheme="majorEastAsia" w:hAnsi="Arial Rounded MT Bold" w:cstheme="majorBidi"/>
      <w:b/>
      <w:iCs/>
      <w:color w:val="00575C" w:themeColor="text2"/>
    </w:rPr>
  </w:style>
  <w:style w:type="paragraph" w:styleId="Heading5">
    <w:name w:val="heading 5"/>
    <w:aliases w:val="Footer Heading"/>
    <w:basedOn w:val="Normal"/>
    <w:next w:val="Normal"/>
    <w:link w:val="Heading5Char"/>
    <w:autoRedefine/>
    <w:uiPriority w:val="9"/>
    <w:unhideWhenUsed/>
    <w:qFormat/>
    <w:rsid w:val="00973B6F"/>
    <w:pPr>
      <w:keepNext/>
      <w:keepLines/>
      <w:spacing w:after="60"/>
      <w:ind w:left="-104"/>
      <w:outlineLvl w:val="4"/>
    </w:pPr>
    <w:rPr>
      <w:rFonts w:ascii="Arial Rounded MT Bold" w:eastAsiaTheme="majorEastAsia" w:hAnsi="Arial Rounded MT Bold" w:cstheme="majorBidi"/>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rFonts w:ascii="Arial" w:hAnsi="Arial"/>
      <w:color w:val="808080"/>
      <w:sz w:val="20"/>
    </w:rPr>
  </w:style>
  <w:style w:type="paragraph" w:styleId="Date">
    <w:name w:val="Date"/>
    <w:basedOn w:val="Normal"/>
    <w:next w:val="Normal"/>
    <w:link w:val="DateChar"/>
    <w:uiPriority w:val="99"/>
    <w:unhideWhenUsed/>
    <w:rsid w:val="00756CFB"/>
    <w:pPr>
      <w:pBdr>
        <w:bottom w:val="single" w:sz="4" w:space="4" w:color="auto"/>
      </w:pBdr>
      <w:tabs>
        <w:tab w:val="right" w:pos="10206"/>
      </w:tabs>
      <w:spacing w:before="240" w:after="240"/>
    </w:pPr>
    <w:rPr>
      <w:b/>
      <w:color w:val="007176" w:themeColor="accent1"/>
      <w:sz w:val="24"/>
    </w:rPr>
  </w:style>
  <w:style w:type="character" w:customStyle="1" w:styleId="DateChar">
    <w:name w:val="Date Char"/>
    <w:basedOn w:val="DefaultParagraphFont"/>
    <w:link w:val="Date"/>
    <w:uiPriority w:val="99"/>
    <w:rsid w:val="00756CFB"/>
    <w:rPr>
      <w:rFonts w:ascii="Arial" w:hAnsi="Arial"/>
      <w:b/>
      <w:color w:val="007176" w:themeColor="accent1"/>
      <w:sz w:val="24"/>
    </w:rPr>
  </w:style>
  <w:style w:type="paragraph" w:styleId="NoSpacing">
    <w:name w:val="No Spacing"/>
    <w:uiPriority w:val="1"/>
    <w:qFormat/>
    <w:rsid w:val="00B71E39"/>
    <w:pPr>
      <w:spacing w:after="0" w:line="264" w:lineRule="auto"/>
    </w:pPr>
  </w:style>
  <w:style w:type="paragraph" w:styleId="ListBullet">
    <w:name w:val="List Bullet"/>
    <w:basedOn w:val="Normal"/>
    <w:uiPriority w:val="99"/>
    <w:unhideWhenUsed/>
    <w:qFormat/>
    <w:rsid w:val="00756CFB"/>
    <w:pPr>
      <w:numPr>
        <w:numId w:val="23"/>
      </w:numPr>
      <w:contextualSpacing/>
    </w:pPr>
  </w:style>
  <w:style w:type="paragraph" w:styleId="ListBullet2">
    <w:name w:val="List Bullet 2"/>
    <w:basedOn w:val="Normal"/>
    <w:uiPriority w:val="99"/>
    <w:unhideWhenUsed/>
    <w:qFormat/>
    <w:rsid w:val="00D83923"/>
    <w:pPr>
      <w:numPr>
        <w:ilvl w:val="1"/>
        <w:numId w:val="23"/>
      </w:numPr>
      <w:contextualSpacing/>
    </w:pPr>
  </w:style>
  <w:style w:type="paragraph" w:styleId="ListNumber">
    <w:name w:val="List Number"/>
    <w:basedOn w:val="Normal"/>
    <w:uiPriority w:val="99"/>
    <w:unhideWhenUsed/>
    <w:qFormat/>
    <w:rsid w:val="007A2CD9"/>
    <w:pPr>
      <w:spacing w:line="240" w:lineRule="auto"/>
    </w:pPr>
    <w:rPr>
      <w:rFonts w:ascii="Arial" w:hAnsi="Arial"/>
    </w:r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756CFB"/>
    <w:rPr>
      <w:rFonts w:ascii="Arial Rounded MT Bold" w:eastAsiaTheme="majorEastAsia" w:hAnsi="Arial Rounded MT Bold" w:cstheme="majorBidi"/>
      <w:b/>
      <w:color w:val="00575C" w:themeColor="text2"/>
      <w:sz w:val="36"/>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787CE6"/>
    <w:rPr>
      <w:rFonts w:ascii="Arial Rounded MT Bold" w:eastAsiaTheme="majorEastAsia" w:hAnsi="Arial Rounded MT Bold" w:cstheme="majorBidi"/>
      <w:b/>
      <w:color w:val="00575C" w:themeColor="text2"/>
      <w:sz w:val="24"/>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rPr>
      <w:rFonts w:ascii="Arial" w:hAnsi="Arial"/>
      <w:sz w:val="20"/>
    </w:rPr>
  </w:style>
  <w:style w:type="paragraph" w:styleId="Footer">
    <w:name w:val="footer"/>
    <w:basedOn w:val="Normal"/>
    <w:link w:val="FooterChar"/>
    <w:autoRedefine/>
    <w:uiPriority w:val="99"/>
    <w:rsid w:val="00D46965"/>
    <w:pPr>
      <w:tabs>
        <w:tab w:val="center" w:pos="4513"/>
        <w:tab w:val="right" w:pos="9026"/>
      </w:tabs>
      <w:spacing w:after="0"/>
    </w:pPr>
    <w:rPr>
      <w:rFonts w:ascii="Arial Rounded MT Bold" w:hAnsi="Arial Rounded MT Bold"/>
      <w:sz w:val="18"/>
    </w:rPr>
  </w:style>
  <w:style w:type="character" w:customStyle="1" w:styleId="FooterChar">
    <w:name w:val="Footer Char"/>
    <w:basedOn w:val="DefaultParagraphFont"/>
    <w:link w:val="Footer"/>
    <w:uiPriority w:val="99"/>
    <w:rsid w:val="00D46965"/>
    <w:rPr>
      <w:rFonts w:ascii="Arial Rounded MT Bold" w:hAnsi="Arial Rounded MT Bold"/>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4944D1"/>
    <w:rPr>
      <w:rFonts w:ascii="Arial Rounded MT Bold" w:eastAsiaTheme="majorEastAsia" w:hAnsi="Arial Rounded MT Bold" w:cstheme="majorBidi"/>
      <w:b/>
      <w:color w:val="000000" w:themeColor="text1"/>
      <w:sz w:val="21"/>
      <w:szCs w:val="24"/>
    </w:rPr>
  </w:style>
  <w:style w:type="character" w:customStyle="1" w:styleId="Heading4Char">
    <w:name w:val="Heading 4 Char"/>
    <w:basedOn w:val="DefaultParagraphFont"/>
    <w:link w:val="Heading4"/>
    <w:uiPriority w:val="9"/>
    <w:rsid w:val="00787CE6"/>
    <w:rPr>
      <w:rFonts w:ascii="Arial Rounded MT Bold" w:eastAsiaTheme="majorEastAsia" w:hAnsi="Arial Rounded MT Bold" w:cstheme="majorBidi"/>
      <w:b/>
      <w:iCs/>
      <w:color w:val="00575C" w:themeColor="text2"/>
      <w:sz w:val="20"/>
    </w:rPr>
  </w:style>
  <w:style w:type="character" w:customStyle="1" w:styleId="Heading5Char">
    <w:name w:val="Heading 5 Char"/>
    <w:aliases w:val="Footer Heading Char"/>
    <w:basedOn w:val="DefaultParagraphFont"/>
    <w:link w:val="Heading5"/>
    <w:uiPriority w:val="9"/>
    <w:rsid w:val="00973B6F"/>
    <w:rPr>
      <w:rFonts w:ascii="Arial Rounded MT Bold" w:eastAsiaTheme="majorEastAsia" w:hAnsi="Arial Rounded MT Bold" w:cstheme="majorBidi"/>
      <w:bCs/>
      <w:sz w:val="18"/>
    </w:rPr>
  </w:style>
  <w:style w:type="numbering" w:customStyle="1" w:styleId="ListHeadings">
    <w:name w:val="List Headings"/>
    <w:uiPriority w:val="99"/>
    <w:rsid w:val="00D16F74"/>
    <w:pPr>
      <w:numPr>
        <w:numId w:val="22"/>
      </w:numPr>
    </w:pPr>
  </w:style>
  <w:style w:type="paragraph" w:styleId="Title">
    <w:name w:val="Title"/>
    <w:aliases w:val="Heading Large"/>
    <w:basedOn w:val="Normal"/>
    <w:next w:val="Normal"/>
    <w:link w:val="TitleChar"/>
    <w:uiPriority w:val="10"/>
    <w:rsid w:val="00756CFB"/>
    <w:pPr>
      <w:spacing w:after="0"/>
      <w:contextualSpacing/>
    </w:pPr>
    <w:rPr>
      <w:rFonts w:ascii="Arial Rounded MT Bold" w:eastAsiaTheme="majorEastAsia" w:hAnsi="Arial Rounded MT Bold" w:cstheme="majorBidi"/>
      <w:b/>
      <w:color w:val="00575C" w:themeColor="text2"/>
      <w:spacing w:val="-10"/>
      <w:kern w:val="28"/>
      <w:sz w:val="36"/>
      <w:szCs w:val="56"/>
    </w:rPr>
  </w:style>
  <w:style w:type="character" w:customStyle="1" w:styleId="TitleChar">
    <w:name w:val="Title Char"/>
    <w:aliases w:val="Heading Large Char"/>
    <w:basedOn w:val="DefaultParagraphFont"/>
    <w:link w:val="Title"/>
    <w:uiPriority w:val="10"/>
    <w:rsid w:val="00756CFB"/>
    <w:rPr>
      <w:rFonts w:ascii="Arial Rounded MT Bold" w:eastAsiaTheme="majorEastAsia" w:hAnsi="Arial Rounded MT Bold" w:cstheme="majorBidi"/>
      <w:b/>
      <w:color w:val="00575C" w:themeColor="text2"/>
      <w:spacing w:val="-10"/>
      <w:kern w:val="28"/>
      <w:sz w:val="36"/>
      <w:szCs w:val="56"/>
    </w:rPr>
  </w:style>
  <w:style w:type="paragraph" w:customStyle="1" w:styleId="Pull-outQuote">
    <w:name w:val="Pull-out Quote"/>
    <w:basedOn w:val="Normal"/>
    <w:link w:val="Pull-outQuoteChar"/>
    <w:uiPriority w:val="11"/>
    <w:semiHidden/>
    <w:rsid w:val="009D24F5"/>
    <w:pPr>
      <w:pBdr>
        <w:top w:val="single" w:sz="4" w:space="4" w:color="00575C" w:themeColor="text2"/>
        <w:left w:val="single" w:sz="4" w:space="4" w:color="00575C" w:themeColor="text2"/>
        <w:bottom w:val="single" w:sz="4" w:space="4" w:color="00575C" w:themeColor="text2"/>
        <w:right w:val="single" w:sz="4" w:space="4" w:color="00575C" w:themeColor="text2"/>
      </w:pBdr>
      <w:shd w:val="clear" w:color="auto" w:fill="00575C"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11"/>
    <w:semiHidden/>
    <w:rsid w:val="004B609E"/>
    <w:rPr>
      <w:b/>
    </w:rPr>
  </w:style>
  <w:style w:type="character" w:customStyle="1" w:styleId="Pull-outQuoteChar">
    <w:name w:val="Pull-out Quote Char"/>
    <w:basedOn w:val="DefaultParagraphFont"/>
    <w:link w:val="Pull-outQuote"/>
    <w:uiPriority w:val="11"/>
    <w:semiHidden/>
    <w:rsid w:val="00107AFF"/>
    <w:rPr>
      <w:rFonts w:ascii="Arial" w:hAnsi="Arial"/>
      <w:color w:val="FFFFFF" w:themeColor="background1"/>
      <w:sz w:val="20"/>
      <w:shd w:val="clear" w:color="auto" w:fill="00575C" w:themeFill="text2"/>
    </w:rPr>
  </w:style>
  <w:style w:type="character" w:customStyle="1" w:styleId="Pull-outQuoteHeadingChar">
    <w:name w:val="Pull-out Quote Heading Char"/>
    <w:basedOn w:val="Pull-outQuoteChar"/>
    <w:link w:val="Pull-outQuoteHeading"/>
    <w:uiPriority w:val="11"/>
    <w:semiHidden/>
    <w:rsid w:val="00107AFF"/>
    <w:rPr>
      <w:rFonts w:ascii="Arial" w:hAnsi="Arial"/>
      <w:b/>
      <w:color w:val="FFFFFF" w:themeColor="background1"/>
      <w:sz w:val="20"/>
      <w:shd w:val="clear" w:color="auto" w:fill="00575C"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575C"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575C" w:themeColor="text2"/>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5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EF3F23"/>
    <w:pPr>
      <w:spacing w:after="240"/>
    </w:pPr>
    <w:rPr>
      <w:i/>
      <w:iCs/>
      <w:color w:val="00575C" w:themeColor="text2"/>
      <w:sz w:val="18"/>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semiHidden/>
    <w:rsid w:val="00483FB0"/>
    <w:pPr>
      <w:numPr>
        <w:ilvl w:val="1"/>
      </w:numPr>
      <w:spacing w:after="160"/>
    </w:pPr>
    <w:rPr>
      <w:rFonts w:eastAsiaTheme="minorEastAsia"/>
      <w:b/>
      <w:color w:val="00575C" w:themeColor="text2"/>
      <w:sz w:val="28"/>
    </w:rPr>
  </w:style>
  <w:style w:type="character" w:customStyle="1" w:styleId="SubtitleChar">
    <w:name w:val="Subtitle Char"/>
    <w:basedOn w:val="DefaultParagraphFont"/>
    <w:link w:val="Subtitle"/>
    <w:uiPriority w:val="11"/>
    <w:semiHidden/>
    <w:rsid w:val="00483FB0"/>
    <w:rPr>
      <w:rFonts w:ascii="Arial" w:eastAsiaTheme="minorEastAsia" w:hAnsi="Arial"/>
      <w:b/>
      <w:color w:val="00575C" w:themeColor="text2"/>
      <w:sz w:val="28"/>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rFonts w:ascii="Arial" w:hAnsi="Arial"/>
      <w:color w:val="000000" w:themeColor="hyperlink"/>
      <w:sz w:val="20"/>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9F426D"/>
    <w:pPr>
      <w:framePr w:w="8505" w:vSpace="284" w:wrap="around" w:hAnchor="margin" w:yAlign="bottom" w:anchorLock="1"/>
      <w:pBdr>
        <w:top w:val="single" w:sz="4" w:space="10"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qFormat/>
    <w:rsid w:val="00374847"/>
    <w:rPr>
      <w:rFonts w:ascii="Arial" w:hAnsi="Arial"/>
      <w:b/>
      <w:sz w:val="20"/>
    </w:rPr>
  </w:style>
  <w:style w:type="table" w:customStyle="1" w:styleId="PLSADefaultStyle">
    <w:name w:val="PLSA Default Style"/>
    <w:basedOn w:val="TableNormal"/>
    <w:uiPriority w:val="99"/>
    <w:rsid w:val="00F130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color w:val="FFFFFF" w:themeColor="background1"/>
      </w:rPr>
      <w:tblPr/>
      <w:tcPr>
        <w:tcBorders>
          <w:bottom w:val="nil"/>
        </w:tcBorders>
        <w:shd w:val="clear" w:color="auto" w:fill="00575C" w:themeFill="text2"/>
      </w:tcPr>
    </w:tblStylePr>
    <w:tblStylePr w:type="firstCol">
      <w:rPr>
        <w:b/>
      </w:rPr>
      <w:tblPr/>
      <w:tcPr>
        <w:shd w:val="clear" w:color="auto" w:fill="89D9EA" w:themeFill="accent5"/>
      </w:tcPr>
    </w:tblStylePr>
    <w:tblStylePr w:type="nwCell">
      <w:rPr>
        <w:b/>
        <w:color w:val="FFFFFF" w:themeColor="background1"/>
      </w:rPr>
    </w:tblStylePr>
  </w:style>
  <w:style w:type="paragraph" w:styleId="Bibliography">
    <w:name w:val="Bibliography"/>
    <w:basedOn w:val="Normal"/>
    <w:next w:val="Normal"/>
    <w:uiPriority w:val="37"/>
    <w:unhideWhenUsed/>
    <w:rsid w:val="000347DC"/>
  </w:style>
  <w:style w:type="paragraph" w:customStyle="1" w:styleId="Tabletext">
    <w:name w:val="Table text"/>
    <w:basedOn w:val="Normal"/>
    <w:rsid w:val="000347DC"/>
    <w:pPr>
      <w:contextualSpacing/>
    </w:pPr>
    <w:rPr>
      <w:b/>
      <w:sz w:val="18"/>
    </w:rPr>
  </w:style>
  <w:style w:type="paragraph" w:customStyle="1" w:styleId="HeaderDocumentTitle">
    <w:name w:val="Header Document Title"/>
    <w:basedOn w:val="Header"/>
    <w:rsid w:val="00756CFB"/>
    <w:rPr>
      <w:rFonts w:ascii="Arial Rounded MT Bold" w:hAnsi="Arial Rounded MT Bold"/>
      <w:b/>
      <w:color w:val="000000" w:themeColor="text1"/>
      <w:sz w:val="44"/>
    </w:rPr>
  </w:style>
  <w:style w:type="character" w:customStyle="1" w:styleId="Aqua">
    <w:name w:val="Aqua"/>
    <w:basedOn w:val="DefaultParagraphFont"/>
    <w:uiPriority w:val="1"/>
    <w:qFormat/>
    <w:rsid w:val="002A7990"/>
    <w:rPr>
      <w:rFonts w:ascii="Arial" w:hAnsi="Arial"/>
      <w:b/>
      <w:color w:val="00575C" w:themeColor="text2"/>
      <w:sz w:val="20"/>
    </w:rPr>
  </w:style>
  <w:style w:type="table" w:styleId="ListTable3-Accent1">
    <w:name w:val="List Table 3 Accent 1"/>
    <w:basedOn w:val="TableNormal"/>
    <w:uiPriority w:val="48"/>
    <w:rsid w:val="00033B06"/>
    <w:pPr>
      <w:spacing w:after="0" w:line="240" w:lineRule="auto"/>
    </w:pPr>
    <w:tblPr>
      <w:tblStyleRowBandSize w:val="1"/>
      <w:tblStyleColBandSize w:val="1"/>
      <w:tblBorders>
        <w:top w:val="single" w:sz="4" w:space="0" w:color="007176" w:themeColor="accent1"/>
        <w:left w:val="single" w:sz="4" w:space="0" w:color="007176" w:themeColor="accent1"/>
        <w:bottom w:val="single" w:sz="4" w:space="0" w:color="007176" w:themeColor="accent1"/>
        <w:right w:val="single" w:sz="4" w:space="0" w:color="007176" w:themeColor="accent1"/>
        <w:insideV w:val="single" w:sz="4" w:space="0" w:color="00575C" w:themeColor="text2"/>
      </w:tblBorders>
    </w:tblPr>
    <w:tblStylePr w:type="firstRow">
      <w:rPr>
        <w:b/>
        <w:bCs/>
        <w:color w:val="000000" w:themeColor="text1"/>
      </w:rPr>
      <w:tblPr/>
      <w:tcPr>
        <w:shd w:val="clear" w:color="auto" w:fill="E9F5EB" w:themeFill="accent3"/>
      </w:tcPr>
    </w:tblStylePr>
    <w:tblStylePr w:type="lastRow">
      <w:rPr>
        <w:b/>
        <w:bCs/>
      </w:rPr>
      <w:tblPr/>
      <w:tcPr>
        <w:tcBorders>
          <w:top w:val="double" w:sz="4" w:space="0" w:color="00717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76" w:themeColor="accent1"/>
          <w:right w:val="single" w:sz="4" w:space="0" w:color="007176" w:themeColor="accent1"/>
        </w:tcBorders>
      </w:tcPr>
    </w:tblStylePr>
    <w:tblStylePr w:type="band1Horz">
      <w:tblPr/>
      <w:tcPr>
        <w:tcBorders>
          <w:top w:val="single" w:sz="4" w:space="0" w:color="007176" w:themeColor="accent1"/>
          <w:bottom w:val="single" w:sz="4" w:space="0" w:color="00717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76" w:themeColor="accent1"/>
          <w:left w:val="nil"/>
        </w:tcBorders>
      </w:tcPr>
    </w:tblStylePr>
    <w:tblStylePr w:type="swCell">
      <w:tblPr/>
      <w:tcPr>
        <w:tcBorders>
          <w:top w:val="double" w:sz="4" w:space="0" w:color="007176" w:themeColor="accent1"/>
          <w:right w:val="nil"/>
        </w:tcBorders>
      </w:tcPr>
    </w:tblStylePr>
  </w:style>
  <w:style w:type="character" w:styleId="UnresolvedMention">
    <w:name w:val="Unresolved Mention"/>
    <w:basedOn w:val="DefaultParagraphFont"/>
    <w:uiPriority w:val="99"/>
    <w:semiHidden/>
    <w:unhideWhenUsed/>
    <w:rsid w:val="00756CFB"/>
    <w:rPr>
      <w:rFonts w:ascii="Arial" w:hAnsi="Arial"/>
      <w:color w:val="605E5C"/>
      <w:sz w:val="20"/>
      <w:shd w:val="clear" w:color="auto" w:fill="E1DFDD"/>
    </w:rPr>
  </w:style>
  <w:style w:type="character" w:styleId="FollowedHyperlink">
    <w:name w:val="FollowedHyperlink"/>
    <w:basedOn w:val="DefaultParagraphFont"/>
    <w:uiPriority w:val="99"/>
    <w:semiHidden/>
    <w:unhideWhenUsed/>
    <w:rsid w:val="00756CFB"/>
    <w:rPr>
      <w:rFonts w:ascii="Arial" w:hAnsi="Arial"/>
      <w:color w:val="96607D" w:themeColor="followedHyperlink"/>
      <w:sz w:val="20"/>
      <w:u w:val="single"/>
    </w:rPr>
  </w:style>
  <w:style w:type="paragraph" w:styleId="FootnoteText">
    <w:name w:val="footnote text"/>
    <w:basedOn w:val="Normal"/>
    <w:link w:val="FootnoteTextChar"/>
    <w:uiPriority w:val="99"/>
    <w:semiHidden/>
    <w:unhideWhenUsed/>
    <w:rsid w:val="002420CC"/>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2420CC"/>
    <w:rPr>
      <w:sz w:val="20"/>
      <w:szCs w:val="20"/>
    </w:rPr>
  </w:style>
  <w:style w:type="character" w:styleId="FootnoteReference">
    <w:name w:val="footnote reference"/>
    <w:basedOn w:val="DefaultParagraphFont"/>
    <w:uiPriority w:val="99"/>
    <w:semiHidden/>
    <w:unhideWhenUsed/>
    <w:rsid w:val="00242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plsa.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ic.gov.au/portable-long-service-authority/employer-information/register-your-business/compliance-and-enforcement/regulatory-strate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nquiries@plsa.vic.gov.a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plsa.vic.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98uf\Downloads\3328_PLSA_MS%20Word%20Doc_Letterhead_v01_Template.dotx" TargetMode="External"/></Relationships>
</file>

<file path=word/theme/theme1.xml><?xml version="1.0" encoding="utf-8"?>
<a:theme xmlns:a="http://schemas.openxmlformats.org/drawingml/2006/main" name="Office Theme">
  <a:themeElements>
    <a:clrScheme name="PLSA Theme 1">
      <a:dk1>
        <a:srgbClr val="000000"/>
      </a:dk1>
      <a:lt1>
        <a:srgbClr val="FFFFFF"/>
      </a:lt1>
      <a:dk2>
        <a:srgbClr val="00575C"/>
      </a:dk2>
      <a:lt2>
        <a:srgbClr val="FFFFFF"/>
      </a:lt2>
      <a:accent1>
        <a:srgbClr val="007176"/>
      </a:accent1>
      <a:accent2>
        <a:srgbClr val="92D7BF"/>
      </a:accent2>
      <a:accent3>
        <a:srgbClr val="E9F5EB"/>
      </a:accent3>
      <a:accent4>
        <a:srgbClr val="FFBCC1"/>
      </a:accent4>
      <a:accent5>
        <a:srgbClr val="89D9EA"/>
      </a:accent5>
      <a:accent6>
        <a:srgbClr val="FFBD23"/>
      </a:accent6>
      <a:hlink>
        <a:srgbClr val="000000"/>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b90759-4104-4100-ae41-62d509000459"/>
    <lcf76f155ced4ddcb4097134ff3c332f xmlns="8caa478f-ae08-42c0-b600-adc4662d1139">
      <Terms xmlns="http://schemas.microsoft.com/office/infopath/2007/PartnerControls"/>
    </lcf76f155ced4ddcb4097134ff3c332f>
    <_dlc_DocId xmlns="93b90759-4104-4100-ae41-62d509000459">PLSA-204312060-96907</_dlc_DocId>
    <_dlc_DocIdUrl xmlns="93b90759-4104-4100-ae41-62d509000459">
      <Url>https://vicgov.sharepoint.com/sites/VG000844/_layouts/15/DocIdRedir.aspx?ID=PLSA-204312060-96907</Url>
      <Description>PLSA-204312060-96907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45EED39FBF57048BDB5161A746EF41C" ma:contentTypeVersion="13" ma:contentTypeDescription="Create a new document." ma:contentTypeScope="" ma:versionID="9c11604b248bace9fba399c37abb2e6d">
  <xsd:schema xmlns:xsd="http://www.w3.org/2001/XMLSchema" xmlns:xs="http://www.w3.org/2001/XMLSchema" xmlns:p="http://schemas.microsoft.com/office/2006/metadata/properties" xmlns:ns2="93b90759-4104-4100-ae41-62d509000459" xmlns:ns3="8caa478f-ae08-42c0-b600-adc4662d1139" targetNamespace="http://schemas.microsoft.com/office/2006/metadata/properties" ma:root="true" ma:fieldsID="fb5b0d114994507a211c2c167f6fabac" ns2:_="" ns3:_="">
    <xsd:import namespace="93b90759-4104-4100-ae41-62d509000459"/>
    <xsd:import namespace="8caa478f-ae08-42c0-b600-adc4662d113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0759-4104-4100-ae41-62d5090004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6d19924d-5a3e-4024-a874-2fb025fbd4a5}" ma:internalName="TaxCatchAll" ma:showField="CatchAllData" ma:web="93b90759-4104-4100-ae41-62d5090004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aa478f-ae08-42c0-b600-adc4662d11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C8724-4817-44C0-BA1B-A5D31F0D0691}">
  <ds:schemaRefs>
    <ds:schemaRef ds:uri="http://schemas.microsoft.com/office/2006/metadata/properties"/>
    <ds:schemaRef ds:uri="http://schemas.microsoft.com/office/infopath/2007/PartnerControls"/>
    <ds:schemaRef ds:uri="93b90759-4104-4100-ae41-62d509000459"/>
    <ds:schemaRef ds:uri="8caa478f-ae08-42c0-b600-adc4662d1139"/>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F0070219-F5FB-4E85-8AFC-27E7E8BCEF58}">
  <ds:schemaRefs>
    <ds:schemaRef ds:uri="http://schemas.microsoft.com/sharepoint/v3/contenttype/forms"/>
  </ds:schemaRefs>
</ds:datastoreItem>
</file>

<file path=customXml/itemProps4.xml><?xml version="1.0" encoding="utf-8"?>
<ds:datastoreItem xmlns:ds="http://schemas.openxmlformats.org/officeDocument/2006/customXml" ds:itemID="{B84707E6-C9C7-4AFA-8A2B-6E019FB9D72F}">
  <ds:schemaRefs>
    <ds:schemaRef ds:uri="http://schemas.microsoft.com/sharepoint/events"/>
  </ds:schemaRefs>
</ds:datastoreItem>
</file>

<file path=customXml/itemProps5.xml><?xml version="1.0" encoding="utf-8"?>
<ds:datastoreItem xmlns:ds="http://schemas.openxmlformats.org/officeDocument/2006/customXml" ds:itemID="{E3EAF699-366D-4BA8-AF95-68613C064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0759-4104-4100-ae41-62d509000459"/>
    <ds:schemaRef ds:uri="8caa478f-ae08-42c0-b600-adc4662d1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3328_PLSA_MS Word Doc_Letterhead_v01_Template.dotx</Template>
  <TotalTime>26</TotalTime>
  <Pages>9</Pages>
  <Words>2727</Words>
  <Characters>14156</Characters>
  <Application>Microsoft Office Word</Application>
  <DocSecurity>2</DocSecurity>
  <Lines>252</Lines>
  <Paragraphs>148</Paragraphs>
  <ScaleCrop>false</ScaleCrop>
  <HeadingPairs>
    <vt:vector size="2" baseType="variant">
      <vt:variant>
        <vt:lpstr>Title</vt:lpstr>
      </vt:variant>
      <vt:variant>
        <vt:i4>1</vt:i4>
      </vt:variant>
    </vt:vector>
  </HeadingPairs>
  <TitlesOfParts>
    <vt:vector size="1" baseType="lpstr">
      <vt:lpstr>Guidance Note 2</vt:lpstr>
    </vt:vector>
  </TitlesOfParts>
  <Manager/>
  <Company/>
  <LinksUpToDate>false</LinksUpToDate>
  <CharactersWithSpaces>16735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2</dc:title>
  <dc:subject/>
  <dc:creator>Portable Long Service Authority</dc:creator>
  <cp:keywords/>
  <dc:description/>
  <cp:lastModifiedBy>Alexandra Price (PLSA)</cp:lastModifiedBy>
  <cp:revision>16</cp:revision>
  <cp:lastPrinted>2024-07-05T04:16:00Z</cp:lastPrinted>
  <dcterms:created xsi:type="dcterms:W3CDTF">2024-12-15T22:27:00Z</dcterms:created>
  <dcterms:modified xsi:type="dcterms:W3CDTF">2024-12-16T05:10:00Z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0x010100B45EED39FBF57048BDB5161A746EF41C</vt:lpwstr>
  </property>
  <property fmtid="{D5CDD505-2E9C-101B-9397-08002B2CF9AE}" pid="3" name="_dlc_DocIdItemGuid">
    <vt:lpwstr>1ebe2c34-73c7-4b9a-ad1b-ad3d2b97b434</vt:lpwstr>
  </property>
  <property fmtid="{D5CDD505-2E9C-101B-9397-08002B2CF9AE}" pid="4" name="ClassificationContentMarkingFooterShapeIds">
    <vt:lpwstr>3c36246a,3e454c7,6ffb3ace</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2024-12-13T02:25:58Z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58326867-47fb-44b6-9f83-ab50c8674d96</vt:lpwstr>
  </property>
  <property fmtid="{D5CDD505-2E9C-101B-9397-08002B2CF9AE}" pid="13" name="MSIP_Label_7158ebbd-6c5e-441f-bfc9-4eb8c11e3978_ContentBits">
    <vt:lpwstr>2</vt:lpwstr>
  </property>
</Properties>
</file>